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#122</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w:t>
      </w:r>
      <w:r>
        <w:rPr>
          <w:rFonts w:hint="eastAsia" w:ascii="Arial" w:hAnsi="Arial" w:eastAsia="Malgun Gothic" w:cs="Arial"/>
          <w:b/>
          <w:bCs/>
          <w:sz w:val="24"/>
          <w:szCs w:val="24"/>
          <w:lang w:val="en-US" w:eastAsia="zh-CN" w:bidi="ar-SA"/>
        </w:rPr>
        <w:t>6490</w:t>
      </w:r>
    </w:p>
    <w:p>
      <w:pPr>
        <w:widowControl w:val="0"/>
        <w:tabs>
          <w:tab w:val="right" w:pos="9639"/>
        </w:tabs>
        <w:spacing w:before="50"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Incheon, KR, 22</w:t>
      </w:r>
      <w:r>
        <w:rPr>
          <w:rFonts w:hint="eastAsia" w:ascii="Arial" w:hAnsi="Arial" w:eastAsia="Malgun Gothic" w:cs="Arial"/>
          <w:b/>
          <w:bCs/>
          <w:sz w:val="24"/>
          <w:szCs w:val="24"/>
          <w:lang w:val="en-US" w:eastAsia="zh-CN" w:bidi="ar-SA"/>
        </w:rPr>
        <w:t>nd</w:t>
      </w:r>
      <w:r>
        <w:rPr>
          <w:rFonts w:hint="default" w:ascii="Arial" w:hAnsi="Arial" w:eastAsia="Malgun Gothic" w:cs="Arial"/>
          <w:b/>
          <w:bCs/>
          <w:sz w:val="24"/>
          <w:szCs w:val="24"/>
          <w:lang w:val="en-GB" w:eastAsia="zh-CN" w:bidi="ar-SA"/>
        </w:rPr>
        <w:t xml:space="preserve"> – 26</w:t>
      </w:r>
      <w:r>
        <w:rPr>
          <w:rFonts w:hint="eastAsia" w:ascii="Arial" w:hAnsi="Arial" w:eastAsia="Malgun Gothic" w:cs="Arial"/>
          <w:b/>
          <w:bCs/>
          <w:sz w:val="24"/>
          <w:szCs w:val="24"/>
          <w:lang w:val="en-US" w:eastAsia="zh-CN" w:bidi="ar-SA"/>
        </w:rPr>
        <w:t>th</w:t>
      </w:r>
      <w:r>
        <w:rPr>
          <w:rFonts w:hint="default" w:ascii="Arial" w:hAnsi="Arial" w:eastAsia="Malgun Gothic" w:cs="Arial"/>
          <w:b/>
          <w:bCs/>
          <w:sz w:val="24"/>
          <w:szCs w:val="24"/>
          <w:lang w:val="en-GB" w:eastAsia="zh-CN" w:bidi="ar-SA"/>
        </w:rPr>
        <w:t xml:space="preserve"> May 2023</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eastAsia="宋体" w:cs="Times New Roman"/>
          <w:b/>
          <w:bCs/>
          <w:sz w:val="24"/>
          <w:szCs w:val="24"/>
          <w:lang w:val="en-GB" w:eastAsia="zh-CN" w:bidi="ar-SA"/>
        </w:rPr>
      </w:pP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keepNext w:val="0"/>
        <w:keepLines w:val="0"/>
        <w:pageBreakBefore w:val="0"/>
        <w:widowControl w:val="0"/>
        <w:kinsoku/>
        <w:wordWrap/>
        <w:overflowPunct w:val="0"/>
        <w:topLinePunct w:val="0"/>
        <w:autoSpaceDE w:val="0"/>
        <w:autoSpaceDN w:val="0"/>
        <w:bidi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Measurement reporting enhancement in NR UAV</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7.8.2</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numPr>
          <w:ilvl w:val="0"/>
          <w:numId w:val="0"/>
        </w:numPr>
        <w:kinsoku/>
        <w:wordWrap/>
        <w:overflowPunct/>
        <w:topLinePunct w:val="0"/>
        <w:autoSpaceDE/>
        <w:autoSpaceDN/>
        <w:bidi w:val="0"/>
        <w:adjustRightInd/>
        <w:spacing w:after="120" w:line="240" w:lineRule="auto"/>
        <w:jc w:val="both"/>
        <w:textAlignment w:val="auto"/>
        <w:rPr>
          <w:rFonts w:hint="default" w:ascii="Times New Roman" w:hAnsi="Times New Roman" w:cs="Times New Roman"/>
          <w:b w:val="0"/>
          <w:bCs w:val="0"/>
          <w:i w:val="0"/>
          <w:iCs w:val="0"/>
          <w:sz w:val="21"/>
          <w:szCs w:val="21"/>
          <w:u w:val="none"/>
          <w:lang w:val="en-US" w:eastAsia="zh-CN"/>
        </w:rPr>
      </w:pPr>
      <w:r>
        <w:rPr>
          <w:rFonts w:hint="eastAsia" w:ascii="Times New Roman" w:hAnsi="Times New Roman" w:cs="Times New Roman"/>
          <w:b w:val="0"/>
          <w:bCs w:val="0"/>
          <w:i w:val="0"/>
          <w:iCs w:val="0"/>
          <w:sz w:val="21"/>
          <w:szCs w:val="21"/>
          <w:u w:val="none"/>
          <w:lang w:val="en-US" w:eastAsia="zh-CN"/>
        </w:rPr>
        <w:t>In RAN2</w:t>
      </w:r>
      <w:r>
        <w:rPr>
          <w:rFonts w:hint="eastAsia" w:cs="Times New Roman"/>
          <w:b w:val="0"/>
          <w:bCs w:val="0"/>
          <w:i w:val="0"/>
          <w:iCs w:val="0"/>
          <w:sz w:val="21"/>
          <w:szCs w:val="21"/>
          <w:u w:val="none"/>
          <w:lang w:val="en-US" w:eastAsia="zh-CN"/>
        </w:rPr>
        <w:t>#121</w:t>
      </w:r>
      <w:r>
        <w:rPr>
          <w:rFonts w:hint="eastAsia" w:ascii="Times New Roman" w:hAnsi="Times New Roman" w:cs="Times New Roman"/>
          <w:b w:val="0"/>
          <w:bCs w:val="0"/>
          <w:i w:val="0"/>
          <w:iCs w:val="0"/>
          <w:sz w:val="21"/>
          <w:szCs w:val="21"/>
          <w:u w:val="none"/>
          <w:lang w:val="en-US" w:eastAsia="zh-CN"/>
        </w:rPr>
        <w:t xml:space="preserve"> meeting[1], following agreements are reached related to UAV mobility and interference control.</w:t>
      </w:r>
    </w:p>
    <w:p>
      <w:pPr>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259" w:leftChars="0"/>
        <w:textAlignment w:val="auto"/>
        <w:rPr>
          <w:rFonts w:hint="default" w:ascii="Times New Roman" w:hAnsi="Times New Roman" w:eastAsia="宋体" w:cs="Times New Roman"/>
          <w:b/>
          <w:bCs/>
          <w:sz w:val="21"/>
          <w:szCs w:val="21"/>
          <w:lang w:val="en-US" w:eastAsia="zh-CN" w:bidi="ar-SA"/>
        </w:rPr>
      </w:pPr>
      <w:bookmarkStart w:id="2" w:name="OLE_LINK1"/>
      <w:r>
        <w:rPr>
          <w:rFonts w:hint="default" w:ascii="Times New Roman" w:hAnsi="Times New Roman" w:eastAsia="宋体" w:cs="Times New Roman"/>
          <w:b/>
          <w:bCs/>
          <w:sz w:val="21"/>
          <w:szCs w:val="21"/>
          <w:lang w:val="en-US" w:eastAsia="zh-CN" w:bidi="ar-SA"/>
        </w:rPr>
        <w:t xml:space="preserve">Agreements: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color w:val="auto"/>
          <w:sz w:val="21"/>
          <w:szCs w:val="21"/>
          <w:highlight w:val="none"/>
          <w:lang w:val="en-GB" w:eastAsia="en-GB" w:bidi="ar-SA"/>
        </w:rPr>
      </w:pPr>
      <w:r>
        <w:rPr>
          <w:rFonts w:hint="default" w:ascii="Times New Roman" w:hAnsi="Times New Roman" w:eastAsia="MS Mincho" w:cs="Times New Roman"/>
          <w:color w:val="auto"/>
          <w:sz w:val="21"/>
          <w:szCs w:val="21"/>
          <w:highlight w:val="none"/>
          <w:lang w:val="en-GB" w:eastAsia="en-GB" w:bidi="ar-SA"/>
        </w:rPr>
        <w:t xml:space="preserve">When event H1 or H2 triggers, the content of the measurement report is configurable by the network (i.e. it can contain UAV UEs height, location information and/or RSRP/RSRQ measurement results). </w:t>
      </w:r>
      <w:r>
        <w:rPr>
          <w:rFonts w:hint="default" w:ascii="Times New Roman" w:hAnsi="Times New Roman" w:eastAsia="MS Mincho" w:cs="Times New Roman"/>
          <w:color w:val="auto"/>
          <w:sz w:val="21"/>
          <w:szCs w:val="21"/>
          <w:highlight w:val="yellow"/>
          <w:lang w:val="en-GB" w:eastAsia="en-GB" w:bidi="ar-SA"/>
        </w:rPr>
        <w:t xml:space="preserve">FFS whether UAV UE’s height is mandatorily reported and which parameter/IE is used for height reporting.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i/>
          <w:iCs/>
          <w:color w:val="auto"/>
          <w:sz w:val="21"/>
          <w:szCs w:val="21"/>
          <w:highlight w:val="none"/>
          <w:lang w:val="en-GB" w:eastAsia="en-GB" w:bidi="ar-SA"/>
        </w:rPr>
      </w:pPr>
      <w:r>
        <w:rPr>
          <w:rFonts w:hint="default" w:ascii="Times New Roman" w:hAnsi="Times New Roman" w:eastAsia="MS Mincho" w:cs="Times New Roman"/>
          <w:color w:val="auto"/>
          <w:sz w:val="21"/>
          <w:szCs w:val="21"/>
          <w:highlight w:val="none"/>
          <w:lang w:val="en-GB" w:eastAsia="en-GB" w:bidi="ar-SA"/>
        </w:rPr>
        <w:t>Joint use of height-dependent condition and RSRP/RSRQ/SINR-based condition for measurement report triggering is supported in NR Rel-18 UAV.   The combination of existing events will be used</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Height-dependent parameter scaling is not supported as a part of Rel-18 NR</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Do not extend the Number of triggering cells mechanism to apply to the inter-RAT scenario, i.e. event B1 and B2 triggering</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Do not restrict the applicability of Number of triggering cells mechanism to FR1 only. In other words, the Number of triggering cells mechanism is applicable to FR1 and FR2 (up to network configuration).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The UE shall not ignore or bypass the Number of triggering cells mechanism, once configured.</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Do not introduce the use of a “numberOfTriggeringBeams” mechanism.</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Do not introduce an alternative mechanism to the Number of triggering cells mechanism.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Do not introduce an additional mechanism based on Number of changed cells.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For the purpose of interference control (i.e. for number of trigger cells), do not introduce a prohibit timer mechanism.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Report on leave is not triggered by a cell that was not previously included in the measurement report for the number of triggering cell.  </w:t>
      </w:r>
    </w:p>
    <w:p>
      <w:pPr>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259" w:leftChars="0"/>
        <w:textAlignment w:val="auto"/>
        <w:rPr>
          <w:rFonts w:hint="default" w:ascii="Times New Roman" w:hAnsi="Times New Roman" w:eastAsia="MS Mincho" w:cs="Times New Roman"/>
          <w:sz w:val="21"/>
          <w:szCs w:val="21"/>
          <w:lang w:val="en-GB" w:eastAsia="en-GB" w:bidi="ar-SA"/>
        </w:rPr>
      </w:pP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b/>
          <w:bCs/>
          <w:sz w:val="21"/>
          <w:szCs w:val="21"/>
          <w:lang w:val="en-GB" w:eastAsia="en-GB" w:bidi="ar-SA"/>
        </w:rPr>
      </w:pPr>
      <w:r>
        <w:rPr>
          <w:rFonts w:hint="default" w:ascii="Times New Roman" w:hAnsi="Times New Roman" w:eastAsia="MS Mincho" w:cs="Times New Roman"/>
          <w:b/>
          <w:bCs/>
          <w:sz w:val="21"/>
          <w:szCs w:val="21"/>
          <w:lang w:val="en-GB" w:eastAsia="en-GB" w:bidi="ar-SA"/>
        </w:rPr>
        <w:t>Agreements:</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sz w:val="21"/>
          <w:szCs w:val="21"/>
          <w:lang w:val="en-GB" w:eastAsia="en-GB" w:bidi="ar-SA"/>
        </w:rPr>
      </w:pPr>
      <w:r>
        <w:rPr>
          <w:rFonts w:hint="eastAsia" w:ascii="Times New Roman" w:hAnsi="Times New Roman" w:eastAsia="宋体" w:cs="Times New Roman"/>
          <w:sz w:val="21"/>
          <w:szCs w:val="21"/>
          <w:lang w:val="en-US" w:eastAsia="zh-CN" w:bidi="ar-SA"/>
        </w:rPr>
        <w:tab/>
      </w:r>
      <w:r>
        <w:rPr>
          <w:rFonts w:hint="eastAsia" w:ascii="Times New Roman" w:hAnsi="Times New Roman" w:eastAsia="宋体" w:cs="Times New Roman"/>
          <w:sz w:val="21"/>
          <w:szCs w:val="21"/>
          <w:lang w:val="en-US" w:eastAsia="zh-CN" w:bidi="ar-SA"/>
        </w:rPr>
        <w:t>S</w:t>
      </w:r>
      <w:r>
        <w:rPr>
          <w:rFonts w:hint="default" w:ascii="Times New Roman" w:hAnsi="Times New Roman" w:eastAsia="MS Mincho" w:cs="Times New Roman"/>
          <w:sz w:val="21"/>
          <w:szCs w:val="21"/>
          <w:lang w:val="en-GB" w:eastAsia="en-GB" w:bidi="ar-SA"/>
        </w:rPr>
        <w:t>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parameters FFS Exact parameters and details.</w:t>
      </w:r>
    </w:p>
    <w:p>
      <w:pPr>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259" w:leftChars="0"/>
        <w:textAlignment w:val="auto"/>
        <w:rPr>
          <w:rFonts w:hint="default" w:ascii="Times New Roman" w:hAnsi="Times New Roman" w:eastAsia="MS Mincho" w:cs="Times New Roman"/>
          <w:sz w:val="21"/>
          <w:szCs w:val="21"/>
          <w:lang w:val="en-GB" w:eastAsia="en-GB"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 xml:space="preserve">In this contribution, we provide some consideration on the remaining issues related to measurement reporting enhancement in NR UAV.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pStyle w:val="3"/>
        <w:numPr>
          <w:ilvl w:val="1"/>
          <w:numId w:val="0"/>
        </w:numPr>
        <w:bidi w:val="0"/>
        <w:ind w:leftChars="0"/>
        <w:rPr>
          <w:rFonts w:hint="eastAsia" w:cs="Times New Roman"/>
          <w:lang w:val="en-US" w:eastAsia="zh-CN"/>
        </w:rPr>
      </w:pPr>
      <w:r>
        <w:rPr>
          <w:rFonts w:hint="eastAsia" w:cs="Times New Roman"/>
          <w:lang w:val="en-US" w:eastAsia="zh-CN"/>
        </w:rPr>
        <w:t>2.1 On content of the 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pacing w:after="120" w:line="20" w:lineRule="atLeast"/>
        <w:jc w:val="both"/>
        <w:textAlignment w:val="auto"/>
        <w:rPr>
          <w:rFonts w:hint="default" w:ascii="Times New Roman" w:hAnsi="Times New Roman" w:cs="Times New Roman"/>
          <w:b w:val="0"/>
          <w:bCs w:val="0"/>
          <w:i w:val="0"/>
          <w:iCs w:val="0"/>
          <w:sz w:val="21"/>
          <w:szCs w:val="21"/>
          <w:u w:val="none"/>
          <w:lang w:val="en-US" w:eastAsia="zh-CN"/>
        </w:rPr>
      </w:pPr>
      <w:r>
        <w:rPr>
          <w:rFonts w:hint="default" w:ascii="Times New Roman" w:hAnsi="Times New Roman" w:cs="Times New Roman"/>
          <w:b w:val="0"/>
          <w:bCs w:val="0"/>
          <w:i w:val="0"/>
          <w:iCs w:val="0"/>
          <w:sz w:val="21"/>
          <w:szCs w:val="21"/>
          <w:u w:val="none"/>
          <w:lang w:val="en-US" w:eastAsia="zh-CN"/>
        </w:rPr>
        <w:t>Regarding the content of the measurement report triggered by event H1 or H2, the following agreement was made</w:t>
      </w:r>
      <w:r>
        <w:rPr>
          <w:rFonts w:hint="eastAsia" w:cs="Times New Roman"/>
          <w:b w:val="0"/>
          <w:bCs w:val="0"/>
          <w:i w:val="0"/>
          <w:iCs w:val="0"/>
          <w:sz w:val="21"/>
          <w:szCs w:val="21"/>
          <w:u w:val="none"/>
          <w:lang w:val="en-US" w:eastAsia="zh-CN"/>
        </w:rPr>
        <w:t>. It is still FFS whether UAV UE</w:t>
      </w:r>
      <w:r>
        <w:rPr>
          <w:rFonts w:hint="default" w:cs="Times New Roman"/>
          <w:b w:val="0"/>
          <w:bCs w:val="0"/>
          <w:i w:val="0"/>
          <w:iCs w:val="0"/>
          <w:sz w:val="21"/>
          <w:szCs w:val="21"/>
          <w:u w:val="none"/>
          <w:lang w:val="en-US" w:eastAsia="zh-CN"/>
        </w:rPr>
        <w:t>’</w:t>
      </w:r>
      <w:r>
        <w:rPr>
          <w:rFonts w:hint="eastAsia" w:cs="Times New Roman"/>
          <w:b w:val="0"/>
          <w:bCs w:val="0"/>
          <w:i w:val="0"/>
          <w:iCs w:val="0"/>
          <w:sz w:val="21"/>
          <w:szCs w:val="21"/>
          <w:u w:val="none"/>
          <w:lang w:val="en-US" w:eastAsia="zh-CN"/>
        </w:rPr>
        <w:t>s height is mandatorily reported and which parameter/IE is used for height reporting.</w:t>
      </w:r>
    </w:p>
    <w:p>
      <w:pPr>
        <w:keepNext w:val="0"/>
        <w:keepLines w:val="0"/>
        <w:pageBreakBefore w:val="0"/>
        <w:widowControl/>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120" w:line="20" w:lineRule="atLeast"/>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When event H1 or H2 triggers, the content of the measurement report is configurable by the network (i.e. it can contain UAV UEs height, location information and/or RSRP/RSRQ measurement results).</w:t>
      </w:r>
      <w:r>
        <w:rPr>
          <w:rFonts w:hint="default" w:ascii="Times New Roman" w:hAnsi="Times New Roman" w:eastAsia="MS Mincho" w:cs="Times New Roman"/>
          <w:color w:val="0000FF"/>
          <w:sz w:val="21"/>
          <w:szCs w:val="21"/>
          <w:lang w:val="en-GB" w:eastAsia="en-GB" w:bidi="ar-SA"/>
        </w:rPr>
        <w:t xml:space="preserve"> </w:t>
      </w:r>
      <w:r>
        <w:rPr>
          <w:rFonts w:hint="default" w:ascii="Times New Roman" w:hAnsi="Times New Roman" w:eastAsia="MS Mincho" w:cs="Times New Roman"/>
          <w:color w:val="auto"/>
          <w:sz w:val="21"/>
          <w:szCs w:val="21"/>
          <w:highlight w:val="yellow"/>
          <w:lang w:val="en-GB" w:eastAsia="en-GB" w:bidi="ar-SA"/>
        </w:rPr>
        <w:t xml:space="preserve">FFS whether UAV UE’s height is mandatorily reported and which parameter/IE is used for height reporting. </w:t>
      </w:r>
    </w:p>
    <w:p>
      <w:pPr>
        <w:keepNext w:val="0"/>
        <w:keepLines w:val="0"/>
        <w:pageBreakBefore w:val="0"/>
        <w:widowControl w:val="0"/>
        <w:numPr>
          <w:ilvl w:val="0"/>
          <w:numId w:val="0"/>
        </w:numPr>
        <w:kinsoku/>
        <w:wordWrap/>
        <w:overflowPunct/>
        <w:topLinePunct w:val="0"/>
        <w:autoSpaceDE/>
        <w:autoSpaceDN/>
        <w:bidi w:val="0"/>
        <w:adjustRightInd/>
        <w:spacing w:after="120" w:line="20" w:lineRule="atLeast"/>
        <w:jc w:val="both"/>
        <w:textAlignment w:val="auto"/>
        <w:rPr>
          <w:rFonts w:hint="default" w:ascii="Times New Roman" w:hAnsi="Times New Roman" w:cs="Times New Roman"/>
          <w:b w:val="0"/>
          <w:bCs w:val="0"/>
          <w:i w:val="0"/>
          <w:iCs w:val="0"/>
          <w:sz w:val="21"/>
          <w:szCs w:val="21"/>
          <w:u w:val="none"/>
          <w:lang w:val="en-US" w:eastAsia="zh-CN"/>
        </w:rPr>
      </w:pPr>
      <w:r>
        <w:rPr>
          <w:rFonts w:hint="default" w:ascii="Times New Roman" w:hAnsi="Times New Roman" w:cs="Times New Roman"/>
          <w:b w:val="0"/>
          <w:bCs w:val="0"/>
          <w:i w:val="0"/>
          <w:iCs w:val="0"/>
          <w:sz w:val="21"/>
          <w:szCs w:val="21"/>
          <w:u w:val="none"/>
          <w:lang w:val="en-US" w:eastAsia="zh-CN"/>
        </w:rPr>
        <w:t>In LTE UAV, a separate IE (i.e. heightUE) was introduced to set the UE’s height in the measurement report triggered by event H1 or H2. And the UAV UE’s height is mandatorily included in content of the measurement report if event H1 or H2 triggers. The corresponding normative text in TS 36.331 can be found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ageBreakBefore w:val="0"/>
              <w:kinsoku/>
              <w:wordWrap/>
              <w:topLinePunct w:val="0"/>
              <w:bidi w:val="0"/>
              <w:snapToGrid w:val="0"/>
              <w:spacing w:after="0" w:line="240" w:lineRule="auto"/>
              <w:rPr>
                <w:b/>
                <w:bCs/>
                <w:lang w:val="en-GB" w:eastAsia="ja-JP"/>
              </w:rPr>
            </w:pPr>
            <w:bookmarkStart w:id="3" w:name="_Toc124515023"/>
            <w:bookmarkStart w:id="4" w:name="_Toc46483149"/>
            <w:bookmarkStart w:id="5" w:name="_Toc46480681"/>
            <w:bookmarkStart w:id="6" w:name="_Toc36810057"/>
            <w:bookmarkStart w:id="7" w:name="_Toc36939074"/>
            <w:bookmarkStart w:id="8" w:name="_Toc46481915"/>
            <w:bookmarkStart w:id="9" w:name="_Toc36846421"/>
            <w:bookmarkStart w:id="10" w:name="_Toc37082054"/>
            <w:r>
              <w:rPr>
                <w:rFonts w:hint="eastAsia" w:cs="Times New Roman"/>
                <w:b/>
                <w:bCs/>
                <w:color w:val="0070C0"/>
                <w:sz w:val="21"/>
                <w:szCs w:val="21"/>
                <w:lang w:val="en-US" w:eastAsia="zh-CN"/>
              </w:rPr>
              <w:t>From TS 36.331</w:t>
            </w:r>
          </w:p>
          <w:p>
            <w:pPr>
              <w:keepNext/>
              <w:keepLines/>
              <w:pageBreakBefore w:val="0"/>
              <w:pBdr>
                <w:top w:val="none" w:color="auto" w:sz="0" w:space="0"/>
              </w:pBdr>
              <w:kinsoku/>
              <w:wordWrap/>
              <w:overflowPunct w:val="0"/>
              <w:topLinePunct w:val="0"/>
              <w:autoSpaceDE w:val="0"/>
              <w:autoSpaceDN w:val="0"/>
              <w:bidi w:val="0"/>
              <w:adjustRightInd w:val="0"/>
              <w:snapToGrid w:val="0"/>
              <w:spacing w:before="120" w:after="0" w:line="240" w:lineRule="auto"/>
              <w:ind w:left="1134" w:hanging="1134"/>
              <w:textAlignment w:val="baseline"/>
              <w:outlineLvl w:val="2"/>
              <w:rPr>
                <w:rFonts w:ascii="Arial" w:hAnsi="Arial" w:eastAsia="Times New Roman" w:cs="Times New Roman"/>
                <w:sz w:val="28"/>
                <w:lang w:val="en-GB" w:eastAsia="ja-JP" w:bidi="ar-SA"/>
              </w:rPr>
            </w:pPr>
            <w:r>
              <w:rPr>
                <w:rFonts w:ascii="Arial" w:hAnsi="Arial" w:eastAsia="Times New Roman" w:cs="Times New Roman"/>
                <w:sz w:val="28"/>
                <w:lang w:val="en-GB" w:eastAsia="ja-JP" w:bidi="ar-SA"/>
              </w:rPr>
              <w:t>5.5.5</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Measurement reporting</w:t>
            </w:r>
            <w:bookmarkEnd w:id="3"/>
            <w:bookmarkEnd w:id="4"/>
            <w:bookmarkEnd w:id="5"/>
            <w:bookmarkEnd w:id="6"/>
            <w:bookmarkEnd w:id="7"/>
            <w:bookmarkEnd w:id="8"/>
            <w:bookmarkEnd w:id="9"/>
            <w:bookmarkEnd w:id="10"/>
          </w:p>
          <w:p>
            <w:pPr>
              <w:pageBreakBefore w:val="0"/>
              <w:widowControl/>
              <w:kinsoku/>
              <w:wordWrap/>
              <w:overflowPunct w:val="0"/>
              <w:topLinePunct w:val="0"/>
              <w:autoSpaceDE w:val="0"/>
              <w:autoSpaceDN w:val="0"/>
              <w:bidi w:val="0"/>
              <w:adjustRightInd w:val="0"/>
              <w:snapToGrid w:val="0"/>
              <w:spacing w:after="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For the </w:t>
            </w:r>
            <w:r>
              <w:rPr>
                <w:rFonts w:ascii="Times New Roman" w:hAnsi="Times New Roman" w:eastAsia="Times New Roman" w:cs="Times New Roman"/>
                <w:i/>
                <w:kern w:val="0"/>
                <w:sz w:val="20"/>
                <w:szCs w:val="20"/>
                <w:lang w:val="en-GB" w:eastAsia="ja-JP"/>
              </w:rPr>
              <w:t>measId</w:t>
            </w:r>
            <w:r>
              <w:rPr>
                <w:rFonts w:ascii="Times New Roman" w:hAnsi="Times New Roman" w:eastAsia="Times New Roman" w:cs="Times New Roman"/>
                <w:kern w:val="0"/>
                <w:sz w:val="20"/>
                <w:szCs w:val="20"/>
                <w:lang w:val="en-GB" w:eastAsia="ja-JP"/>
              </w:rPr>
              <w:t xml:space="preserve"> for which the measurement reporting procedure was triggered, the UE shall set the </w:t>
            </w:r>
            <w:r>
              <w:rPr>
                <w:rFonts w:ascii="Times New Roman" w:hAnsi="Times New Roman" w:eastAsia="Times New Roman" w:cs="Times New Roman"/>
                <w:i/>
                <w:kern w:val="0"/>
                <w:sz w:val="20"/>
                <w:szCs w:val="20"/>
                <w:lang w:val="en-GB" w:eastAsia="ja-JP"/>
              </w:rPr>
              <w:t>measResults</w:t>
            </w:r>
            <w:r>
              <w:rPr>
                <w:rFonts w:ascii="Times New Roman" w:hAnsi="Times New Roman" w:eastAsia="Times New Roman" w:cs="Times New Roman"/>
                <w:kern w:val="0"/>
                <w:sz w:val="20"/>
                <w:szCs w:val="20"/>
                <w:lang w:val="en-GB" w:eastAsia="ja-JP"/>
              </w:rPr>
              <w:t xml:space="preserve"> within the </w:t>
            </w:r>
            <w:r>
              <w:rPr>
                <w:rFonts w:ascii="Times New Roman" w:hAnsi="Times New Roman" w:eastAsia="Times New Roman" w:cs="Times New Roman"/>
                <w:i/>
                <w:kern w:val="0"/>
                <w:sz w:val="20"/>
                <w:szCs w:val="20"/>
                <w:lang w:val="en-GB" w:eastAsia="ja-JP"/>
              </w:rPr>
              <w:t>MeasurementReport</w:t>
            </w:r>
            <w:r>
              <w:rPr>
                <w:rFonts w:ascii="Times New Roman" w:hAnsi="Times New Roman" w:eastAsia="Times New Roman" w:cs="Times New Roman"/>
                <w:kern w:val="0"/>
                <w:sz w:val="20"/>
                <w:szCs w:val="20"/>
                <w:lang w:val="en-GB" w:eastAsia="ja-JP"/>
              </w:rPr>
              <w:t xml:space="preserve"> message as follows:</w:t>
            </w:r>
          </w:p>
          <w:p>
            <w:pPr>
              <w:pageBreakBefore w:val="0"/>
              <w:kinsoku/>
              <w:wordWrap/>
              <w:topLinePunct w:val="0"/>
              <w:bidi w:val="0"/>
              <w:snapToGrid w:val="0"/>
              <w:spacing w:after="0" w:line="240" w:lineRule="auto"/>
              <w:rPr>
                <w:rFonts w:hint="default" w:eastAsiaTheme="minorEastAsia"/>
                <w:color w:val="FF0000"/>
                <w:sz w:val="20"/>
                <w:szCs w:val="20"/>
                <w:lang w:val="en-US" w:eastAsia="zh-CN"/>
              </w:rPr>
            </w:pPr>
            <w:r>
              <w:rPr>
                <w:rFonts w:hint="eastAsia"/>
                <w:color w:val="FF0000"/>
                <w:sz w:val="20"/>
                <w:szCs w:val="20"/>
                <w:lang w:val="en-US" w:eastAsia="zh-CN"/>
              </w:rPr>
              <w:t>*// skip unrelated part //*</w:t>
            </w:r>
          </w:p>
          <w:p>
            <w:pPr>
              <w:pStyle w:val="94"/>
              <w:pageBreakBefore w:val="0"/>
              <w:kinsoku/>
              <w:wordWrap/>
              <w:topLinePunct w:val="0"/>
              <w:bidi w:val="0"/>
              <w:snapToGrid w:val="0"/>
              <w:spacing w:after="0" w:line="240" w:lineRule="auto"/>
            </w:pPr>
            <w:r>
              <w:t>1&gt;</w:t>
            </w:r>
            <w:r>
              <w:tab/>
            </w:r>
            <w:r>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pPr>
              <w:pStyle w:val="106"/>
              <w:pageBreakBefore w:val="0"/>
              <w:kinsoku/>
              <w:wordWrap/>
              <w:topLinePunct w:val="0"/>
              <w:bidi w:val="0"/>
              <w:snapToGrid w:val="0"/>
              <w:spacing w:after="0" w:line="240" w:lineRule="auto"/>
              <w:rPr>
                <w:lang w:eastAsia="zh-CN"/>
              </w:rPr>
            </w:pPr>
            <w:r>
              <w:t>2&gt;</w:t>
            </w:r>
            <w:r>
              <w:tab/>
            </w:r>
            <w:r>
              <w:t xml:space="preserve">set the </w:t>
            </w:r>
            <w:r>
              <w:rPr>
                <w:rFonts w:eastAsia="宋体"/>
                <w:i/>
                <w:lang w:eastAsia="zh-CN"/>
              </w:rPr>
              <w:t>heightUE</w:t>
            </w:r>
            <w:r>
              <w:t xml:space="preserve"> to include the </w:t>
            </w:r>
            <w:r>
              <w:rPr>
                <w:lang w:eastAsia="zh-CN"/>
              </w:rPr>
              <w:t>altitude of the UE;</w:t>
            </w:r>
          </w:p>
          <w:p>
            <w:pPr>
              <w:pStyle w:val="106"/>
              <w:pageBreakBefore w:val="0"/>
              <w:kinsoku/>
              <w:wordWrap/>
              <w:topLinePunct w:val="0"/>
              <w:bidi w:val="0"/>
              <w:snapToGrid w:val="0"/>
              <w:spacing w:after="0" w:line="240" w:lineRule="auto"/>
              <w:rPr>
                <w:lang w:eastAsia="zh-CN"/>
              </w:rPr>
            </w:pPr>
          </w:p>
          <w:p>
            <w:pPr>
              <w:pStyle w:val="106"/>
              <w:pageBreakBefore w:val="0"/>
              <w:kinsoku/>
              <w:wordWrap/>
              <w:topLinePunct w:val="0"/>
              <w:bidi w:val="0"/>
              <w:snapToGrid w:val="0"/>
              <w:spacing w:after="0" w:line="240" w:lineRule="auto"/>
              <w:ind w:left="0" w:leftChars="0" w:firstLine="0" w:firstLineChars="0"/>
              <w:rPr>
                <w:rFonts w:hint="default"/>
                <w:color w:val="0070C0"/>
                <w:lang w:val="en-US" w:eastAsia="zh-CN"/>
              </w:rPr>
            </w:pPr>
            <w:r>
              <w:rPr>
                <w:rFonts w:hint="eastAsia"/>
                <w:color w:val="0070C0"/>
                <w:lang w:val="en-US" w:eastAsia="zh-CN"/>
              </w:rPr>
              <w:t>***********************************************************************************************</w:t>
            </w:r>
          </w:p>
          <w:p>
            <w:pPr>
              <w:keepNext/>
              <w:keepLines/>
              <w:pageBreakBefore w:val="0"/>
              <w:pBdr>
                <w:top w:val="none" w:color="auto" w:sz="0" w:space="0"/>
              </w:pBdr>
              <w:kinsoku/>
              <w:wordWrap/>
              <w:overflowPunct w:val="0"/>
              <w:topLinePunct w:val="0"/>
              <w:autoSpaceDE w:val="0"/>
              <w:autoSpaceDN w:val="0"/>
              <w:bidi w:val="0"/>
              <w:adjustRightInd w:val="0"/>
              <w:snapToGrid w:val="0"/>
              <w:spacing w:before="120" w:after="0" w:line="240" w:lineRule="auto"/>
              <w:ind w:left="1418" w:hanging="1418"/>
              <w:textAlignment w:val="baseline"/>
              <w:outlineLvl w:val="3"/>
              <w:rPr>
                <w:rFonts w:ascii="Arial" w:hAnsi="Arial" w:eastAsia="Times New Roman" w:cs="Times New Roman"/>
                <w:sz w:val="24"/>
                <w:lang w:val="en-GB" w:eastAsia="ja-JP" w:bidi="ar-SA"/>
              </w:rPr>
            </w:pPr>
            <w:bookmarkStart w:id="11" w:name="_Toc36567132"/>
            <w:bookmarkStart w:id="12" w:name="_Toc29342727"/>
            <w:bookmarkStart w:id="13" w:name="_Toc46483682"/>
            <w:bookmarkStart w:id="14" w:name="_Toc37082574"/>
            <w:bookmarkStart w:id="15" w:name="_Toc46481214"/>
            <w:bookmarkStart w:id="16" w:name="_Toc36846941"/>
            <w:bookmarkStart w:id="17" w:name="_Toc46482448"/>
            <w:bookmarkStart w:id="18" w:name="_Toc36810577"/>
            <w:bookmarkStart w:id="19" w:name="_Toc20487430"/>
            <w:bookmarkStart w:id="20" w:name="_Toc124515563"/>
            <w:bookmarkStart w:id="21" w:name="_Toc29343866"/>
            <w:bookmarkStart w:id="22" w:name="_Toc36939594"/>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MeasResults</w:t>
            </w:r>
            <w:bookmarkEnd w:id="11"/>
            <w:bookmarkEnd w:id="12"/>
            <w:bookmarkEnd w:id="13"/>
            <w:bookmarkEnd w:id="14"/>
            <w:bookmarkEnd w:id="15"/>
            <w:bookmarkEnd w:id="16"/>
            <w:bookmarkEnd w:id="17"/>
            <w:bookmarkEnd w:id="18"/>
            <w:bookmarkEnd w:id="19"/>
            <w:bookmarkEnd w:id="20"/>
            <w:bookmarkEnd w:id="21"/>
            <w:bookmarkEnd w:id="22"/>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MeasResults ::=                    SEQUENCE {</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FF0000"/>
                <w:spacing w:val="0"/>
                <w:sz w:val="16"/>
                <w:szCs w:val="16"/>
                <w:shd w:val="clear" w:fill="E6E6E6"/>
              </w:rPr>
              <w:t>...</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  </w:t>
            </w:r>
            <w:r>
              <w:rPr>
                <w:rFonts w:hint="default" w:ascii="Courier New" w:hAnsi="Courier New" w:cs="Courier New"/>
                <w:i w:val="0"/>
                <w:caps w:val="0"/>
                <w:color w:val="000000"/>
                <w:spacing w:val="0"/>
                <w:sz w:val="16"/>
                <w:szCs w:val="16"/>
                <w:shd w:val="clear" w:fill="FFFF00"/>
              </w:rPr>
              <w:t>locationInfo-r10</w:t>
            </w:r>
            <w:r>
              <w:rPr>
                <w:rFonts w:hint="default" w:ascii="Courier New" w:hAnsi="Courier New" w:cs="Courier New"/>
                <w:i w:val="0"/>
                <w:caps w:val="0"/>
                <w:color w:val="000000"/>
                <w:spacing w:val="0"/>
                <w:sz w:val="16"/>
                <w:szCs w:val="16"/>
                <w:shd w:val="clear" w:fill="E6E6E6"/>
              </w:rPr>
              <w:t>                   LocationInfo-r10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measResultServFreqList-r10          MeasResultServFreqList-r10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FF0000"/>
                <w:spacing w:val="0"/>
                <w:sz w:val="16"/>
                <w:szCs w:val="16"/>
                <w:shd w:val="clear" w:fill="E6E6E6"/>
              </w:rPr>
              <w:t>....</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  logMeasResultListBT-r15            LogMeasResultListBT-r15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logMeasResultListWLAN-r15           LogMeasResultListWLAN-r15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measResultSensing-r15           MeasResultSensing-r15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w:t>
            </w:r>
            <w:r>
              <w:rPr>
                <w:rFonts w:hint="default" w:ascii="Courier New" w:hAnsi="Courier New" w:cs="Courier New"/>
                <w:i w:val="0"/>
                <w:caps w:val="0"/>
                <w:color w:val="000000"/>
                <w:spacing w:val="0"/>
                <w:sz w:val="16"/>
                <w:szCs w:val="16"/>
                <w:shd w:val="clear" w:fill="00FF00"/>
              </w:rPr>
              <w:t>heightUE-r15</w:t>
            </w:r>
            <w:r>
              <w:rPr>
                <w:rFonts w:hint="default" w:ascii="Courier New" w:hAnsi="Courier New" w:cs="Courier New"/>
                <w:i w:val="0"/>
                <w:caps w:val="0"/>
                <w:color w:val="000000"/>
                <w:spacing w:val="0"/>
                <w:sz w:val="16"/>
                <w:szCs w:val="16"/>
                <w:shd w:val="clear" w:fill="E6E6E6"/>
              </w:rPr>
              <w:t>                       INTEGER (-400..8880)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FF0000"/>
                <w:spacing w:val="0"/>
                <w:sz w:val="16"/>
                <w:szCs w:val="16"/>
                <w:shd w:val="clear" w:fill="E6E6E6"/>
              </w:rPr>
              <w:t>...</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w:t>
            </w:r>
          </w:p>
          <w:p>
            <w:pPr>
              <w:pageBreakBefore w:val="0"/>
              <w:widowControl w:val="0"/>
              <w:numPr>
                <w:ilvl w:val="0"/>
                <w:numId w:val="0"/>
              </w:numPr>
              <w:kinsoku/>
              <w:wordWrap/>
              <w:topLinePunct w:val="0"/>
              <w:bidi w:val="0"/>
              <w:snapToGrid w:val="0"/>
              <w:spacing w:after="0" w:line="240" w:lineRule="auto"/>
              <w:jc w:val="both"/>
              <w:rPr>
                <w:rFonts w:hint="default" w:cs="Times New Roman"/>
                <w:b w:val="0"/>
                <w:bCs w:val="0"/>
                <w:sz w:val="21"/>
                <w:szCs w:val="21"/>
                <w:lang w:val="en-US" w:eastAsia="zh-CN"/>
              </w:rPr>
            </w:pPr>
          </w:p>
          <w:tbl>
            <w:tblPr>
              <w:tblStyle w:val="56"/>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05" w:hRule="atLeast"/>
              </w:trPr>
              <w:tc>
                <w:tcPr>
                  <w:tcW w:w="9639" w:type="dxa"/>
                </w:tcPr>
                <w:p>
                  <w:pPr>
                    <w:keepNext/>
                    <w:keepLines/>
                    <w:pageBreakBefore w:val="0"/>
                    <w:kinsoku/>
                    <w:wordWrap/>
                    <w:overflowPunct w:val="0"/>
                    <w:topLinePunct w:val="0"/>
                    <w:autoSpaceDE w:val="0"/>
                    <w:autoSpaceDN w:val="0"/>
                    <w:bidi w:val="0"/>
                    <w:adjustRightInd w:val="0"/>
                    <w:snapToGrid w:val="0"/>
                    <w:spacing w:after="0" w:line="240" w:lineRule="auto"/>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heightUE</w:t>
                  </w:r>
                </w:p>
                <w:p>
                  <w:pPr>
                    <w:keepNext/>
                    <w:keepLines/>
                    <w:pageBreakBefore w:val="0"/>
                    <w:kinsoku/>
                    <w:wordWrap/>
                    <w:overflowPunct w:val="0"/>
                    <w:topLinePunct w:val="0"/>
                    <w:autoSpaceDE w:val="0"/>
                    <w:autoSpaceDN w:val="0"/>
                    <w:bidi w:val="0"/>
                    <w:adjustRightInd w:val="0"/>
                    <w:snapToGrid w:val="0"/>
                    <w:spacing w:after="0" w:line="240" w:lineRule="auto"/>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height of the UE in meters relative to the sea level. Value 0 corresponds to sea level (i.e., negative value indicates depth of the UE below sea level). Value -400 corresponds to -400 m, value -399 corresponds to -399 m and so on.</w:t>
                  </w:r>
                </w:p>
              </w:tc>
            </w:tr>
          </w:tbl>
          <w:p>
            <w:pPr>
              <w:pageBreakBefore w:val="0"/>
              <w:widowControl w:val="0"/>
              <w:numPr>
                <w:ilvl w:val="0"/>
                <w:numId w:val="0"/>
              </w:numPr>
              <w:kinsoku/>
              <w:wordWrap/>
              <w:topLinePunct w:val="0"/>
              <w:bidi w:val="0"/>
              <w:snapToGrid w:val="0"/>
              <w:spacing w:after="0" w:line="240" w:lineRule="auto"/>
              <w:jc w:val="both"/>
              <w:rPr>
                <w:rFonts w:hint="eastAsia" w:cs="Times New Roman"/>
                <w:b w:val="0"/>
                <w:bCs w:val="0"/>
                <w:sz w:val="21"/>
                <w:szCs w:val="21"/>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 xml:space="preserve">For NR, although the current location information can also indicate the height related information (e.g. via </w:t>
      </w:r>
      <w:r>
        <w:rPr>
          <w:rFonts w:hint="eastAsia" w:cs="Times New Roman"/>
          <w:b w:val="0"/>
          <w:bCs w:val="0"/>
          <w:i/>
          <w:iCs/>
          <w:sz w:val="21"/>
          <w:szCs w:val="21"/>
          <w:lang w:val="en-US" w:eastAsia="zh-CN"/>
        </w:rPr>
        <w:t>altitude-r15</w:t>
      </w:r>
      <w:r>
        <w:rPr>
          <w:rFonts w:hint="eastAsia" w:cs="Times New Roman"/>
          <w:b w:val="0"/>
          <w:bCs w:val="0"/>
          <w:sz w:val="21"/>
          <w:szCs w:val="21"/>
          <w:lang w:val="en-US" w:eastAsia="zh-CN"/>
        </w:rPr>
        <w:t xml:space="preserve"> IE in </w:t>
      </w:r>
      <w:r>
        <w:rPr>
          <w:rFonts w:hint="eastAsia" w:cs="Times New Roman"/>
          <w:b w:val="0"/>
          <w:bCs w:val="0"/>
          <w:i/>
          <w:iCs/>
          <w:sz w:val="21"/>
          <w:szCs w:val="21"/>
          <w:lang w:val="en-US" w:eastAsia="zh-CN"/>
        </w:rPr>
        <w:t>HighAccuracyEllipsoidPointWithAltitudeAndUncertaintyEllipsoid</w:t>
      </w:r>
      <w:r>
        <w:rPr>
          <w:rFonts w:hint="eastAsia" w:cs="Times New Roman"/>
          <w:b w:val="0"/>
          <w:bCs w:val="0"/>
          <w:sz w:val="21"/>
          <w:szCs w:val="21"/>
          <w:lang w:val="en-US" w:eastAsia="zh-CN"/>
        </w:rPr>
        <w:t xml:space="preserve"> IE within </w:t>
      </w:r>
      <w:r>
        <w:rPr>
          <w:i/>
          <w:snapToGrid w:val="0"/>
          <w:lang w:eastAsia="en-GB"/>
        </w:rPr>
        <w:t>LocationCoordinates</w:t>
      </w:r>
      <w:r>
        <w:rPr>
          <w:rFonts w:hint="eastAsia"/>
          <w:i/>
          <w:snapToGrid w:val="0"/>
          <w:lang w:val="en-US" w:eastAsia="zh-CN"/>
        </w:rPr>
        <w:t xml:space="preserve"> </w:t>
      </w:r>
      <w:r>
        <w:rPr>
          <w:rFonts w:hint="eastAsia"/>
          <w:i w:val="0"/>
          <w:iCs/>
          <w:snapToGrid w:val="0"/>
          <w:lang w:val="en-US" w:eastAsia="zh-CN"/>
        </w:rPr>
        <w:t>IE</w:t>
      </w:r>
      <w:r>
        <w:rPr>
          <w:rFonts w:hint="eastAsia" w:cs="Times New Roman"/>
          <w:b w:val="0"/>
          <w:bCs w:val="0"/>
          <w:sz w:val="21"/>
          <w:szCs w:val="21"/>
          <w:lang w:val="en-US" w:eastAsia="zh-CN"/>
        </w:rPr>
        <w:t>), such height can only be reported with the coordination information, if available at the UE side. Considering that the</w:t>
      </w:r>
      <w:r>
        <w:rPr>
          <w:rFonts w:hint="default" w:cs="Times New Roman"/>
          <w:b w:val="0"/>
          <w:bCs w:val="0"/>
          <w:sz w:val="21"/>
          <w:szCs w:val="21"/>
          <w:lang w:val="en-US" w:eastAsia="zh-CN"/>
        </w:rPr>
        <w:t xml:space="preserve"> UE evaluates H1/H2 based on UE's height, </w:t>
      </w:r>
      <w:r>
        <w:rPr>
          <w:rFonts w:hint="eastAsia" w:cs="Times New Roman"/>
          <w:b w:val="0"/>
          <w:bCs w:val="0"/>
          <w:sz w:val="21"/>
          <w:szCs w:val="21"/>
          <w:lang w:val="en-US" w:eastAsia="zh-CN"/>
        </w:rPr>
        <w:t xml:space="preserve">we think the height information should be able to be reported separately, e.g. without location information. And we see </w:t>
      </w:r>
      <w:r>
        <w:rPr>
          <w:rFonts w:hint="default" w:cs="Times New Roman"/>
          <w:b w:val="0"/>
          <w:bCs w:val="0"/>
          <w:sz w:val="21"/>
          <w:szCs w:val="21"/>
          <w:lang w:val="en-US" w:eastAsia="zh-CN"/>
        </w:rPr>
        <w:t xml:space="preserve">no problem to </w:t>
      </w:r>
      <w:r>
        <w:rPr>
          <w:rFonts w:hint="eastAsia" w:cs="Times New Roman"/>
          <w:b w:val="0"/>
          <w:bCs w:val="0"/>
          <w:sz w:val="21"/>
          <w:szCs w:val="21"/>
          <w:lang w:val="en-US" w:eastAsia="zh-CN"/>
        </w:rPr>
        <w:t xml:space="preserve">always </w:t>
      </w:r>
      <w:r>
        <w:rPr>
          <w:rFonts w:hint="default" w:cs="Times New Roman"/>
          <w:b w:val="0"/>
          <w:bCs w:val="0"/>
          <w:sz w:val="21"/>
          <w:szCs w:val="21"/>
          <w:lang w:val="en-US" w:eastAsia="zh-CN"/>
        </w:rPr>
        <w:t xml:space="preserve">include the height results in </w:t>
      </w:r>
      <w:r>
        <w:rPr>
          <w:rFonts w:hint="eastAsia" w:cs="Times New Roman"/>
          <w:b w:val="0"/>
          <w:bCs w:val="0"/>
          <w:sz w:val="21"/>
          <w:szCs w:val="21"/>
          <w:lang w:val="en-US" w:eastAsia="zh-CN"/>
        </w:rPr>
        <w:t>measurement report</w:t>
      </w:r>
      <w:r>
        <w:rPr>
          <w:rFonts w:hint="default" w:cs="Times New Roman"/>
          <w:b w:val="0"/>
          <w:bCs w:val="0"/>
          <w:sz w:val="21"/>
          <w:szCs w:val="21"/>
          <w:lang w:val="en-US" w:eastAsia="zh-CN"/>
        </w:rPr>
        <w:t xml:space="preserve">. </w:t>
      </w:r>
      <w:r>
        <w:rPr>
          <w:rFonts w:hint="eastAsia" w:cs="Times New Roman"/>
          <w:b w:val="0"/>
          <w:bCs w:val="0"/>
          <w:sz w:val="21"/>
          <w:szCs w:val="21"/>
          <w:lang w:val="en-US" w:eastAsia="zh-CN"/>
        </w:rPr>
        <w:t xml:space="preserve">Thus, we prefer to introduce a separate IE (e.g. </w:t>
      </w:r>
      <w:r>
        <w:rPr>
          <w:rFonts w:hint="eastAsia" w:cs="Times New Roman"/>
          <w:b w:val="0"/>
          <w:bCs w:val="0"/>
          <w:i/>
          <w:iCs/>
          <w:sz w:val="21"/>
          <w:szCs w:val="21"/>
          <w:lang w:val="en-US" w:eastAsia="zh-CN"/>
        </w:rPr>
        <w:t>heightUE</w:t>
      </w:r>
      <w:r>
        <w:rPr>
          <w:rFonts w:hint="eastAsia" w:cs="Times New Roman"/>
          <w:b w:val="0"/>
          <w:bCs w:val="0"/>
          <w:sz w:val="21"/>
          <w:szCs w:val="21"/>
          <w:lang w:val="en-US" w:eastAsia="zh-CN"/>
        </w:rPr>
        <w:t>) for the height reporting, as in LTE UAV. When event H1 or H2 triggers, the UAV UE</w:t>
      </w:r>
      <w:r>
        <w:rPr>
          <w:rFonts w:hint="default" w:cs="Times New Roman"/>
          <w:b w:val="0"/>
          <w:bCs w:val="0"/>
          <w:sz w:val="21"/>
          <w:szCs w:val="21"/>
          <w:lang w:val="en-US" w:eastAsia="zh-CN"/>
        </w:rPr>
        <w:t>’</w:t>
      </w:r>
      <w:r>
        <w:rPr>
          <w:rFonts w:hint="eastAsia" w:cs="Times New Roman"/>
          <w:b w:val="0"/>
          <w:bCs w:val="0"/>
          <w:sz w:val="21"/>
          <w:szCs w:val="21"/>
          <w:lang w:val="en-US" w:eastAsia="zh-CN"/>
        </w:rPr>
        <w:t>s height is mandatorily reported</w:t>
      </w:r>
      <w:r>
        <w:rPr>
          <w:rFonts w:hint="default" w:cs="Times New Roman"/>
          <w:b w:val="0"/>
          <w:bCs w:val="0"/>
          <w:sz w:val="21"/>
          <w:szCs w:val="21"/>
          <w:lang w:val="en-US" w:eastAsia="zh-CN"/>
        </w:rPr>
        <w:t xml:space="preserve"> </w:t>
      </w:r>
      <w:r>
        <w:rPr>
          <w:rFonts w:hint="eastAsia" w:cs="Times New Roman"/>
          <w:b w:val="0"/>
          <w:bCs w:val="0"/>
          <w:sz w:val="21"/>
          <w:szCs w:val="21"/>
          <w:lang w:val="en-US" w:eastAsia="zh-CN"/>
        </w:rPr>
        <w:t>in the measurement result.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1: When event H1 or H2 triggers, the UE shall </w:t>
      </w:r>
      <w:r>
        <w:rPr>
          <w:rFonts w:hint="eastAsia" w:cs="Times New Roman"/>
          <w:b/>
          <w:bCs/>
          <w:i w:val="0"/>
          <w:iCs w:val="0"/>
          <w:sz w:val="21"/>
          <w:szCs w:val="21"/>
          <w:lang w:val="en-US" w:eastAsia="zh-CN"/>
        </w:rPr>
        <w:t>mandatorily</w:t>
      </w:r>
      <w:r>
        <w:rPr>
          <w:rFonts w:hint="eastAsia" w:ascii="Times New Roman" w:hAnsi="Times New Roman" w:cs="Times New Roman"/>
          <w:b/>
          <w:bCs/>
          <w:i w:val="0"/>
          <w:iCs w:val="0"/>
          <w:sz w:val="21"/>
          <w:szCs w:val="21"/>
          <w:lang w:val="en-US" w:eastAsia="zh-CN"/>
        </w:rPr>
        <w:t xml:space="preserve"> include the UAV UE</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s height in the separate IE within the measurement result. A separate IE (e.g. heightUE) is introduced for the height reporting triggered by event H1 or H2, as in LTE.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In NR, for each measurement report triggered by event, the UE shall set the quantities results of concerned cells in the measurement report. For UAV UE, including the RSRP/RSRQ/SINR measurement results in the measurement report shall increase the report size. And considering that more frequent measurement report may be triggered in aerial UE</w:t>
      </w:r>
      <w:r>
        <w:rPr>
          <w:rFonts w:hint="default" w:cs="Times New Roman"/>
          <w:b w:val="0"/>
          <w:bCs w:val="0"/>
          <w:sz w:val="21"/>
          <w:szCs w:val="21"/>
          <w:lang w:val="en-US" w:eastAsia="zh-CN"/>
        </w:rPr>
        <w:t>’</w:t>
      </w:r>
      <w:r>
        <w:rPr>
          <w:rFonts w:hint="eastAsia" w:cs="Times New Roman"/>
          <w:b w:val="0"/>
          <w:bCs w:val="0"/>
          <w:sz w:val="21"/>
          <w:szCs w:val="21"/>
          <w:lang w:val="en-US" w:eastAsia="zh-CN"/>
        </w:rPr>
        <w:t xml:space="preserve">s environment, it may cause larger interference. Thus, it is agreed in last RAN2 meeting that </w:t>
      </w:r>
      <w:r>
        <w:rPr>
          <w:rFonts w:hint="default" w:cs="Times New Roman"/>
          <w:b w:val="0"/>
          <w:bCs w:val="0"/>
          <w:sz w:val="21"/>
          <w:szCs w:val="21"/>
          <w:lang w:val="en-US" w:eastAsia="zh-CN"/>
        </w:rPr>
        <w:t>“</w:t>
      </w:r>
      <w:r>
        <w:rPr>
          <w:rFonts w:hint="eastAsia" w:cs="Times New Roman"/>
          <w:b w:val="0"/>
          <w:bCs w:val="0"/>
          <w:sz w:val="21"/>
          <w:szCs w:val="21"/>
          <w:lang w:val="en-US" w:eastAsia="zh-CN"/>
        </w:rPr>
        <w:t>W</w:t>
      </w:r>
      <w:r>
        <w:rPr>
          <w:rFonts w:hint="default" w:ascii="Times New Roman" w:hAnsi="Times New Roman" w:eastAsia="MS Mincho" w:cs="Times New Roman"/>
          <w:color w:val="auto"/>
          <w:szCs w:val="24"/>
          <w:highlight w:val="none"/>
          <w:lang w:val="en-GB" w:eastAsia="en-GB" w:bidi="ar-SA"/>
        </w:rPr>
        <w:t>hen event H1 or H2 triggers, the content of the measurement report is configurable by the network (i.e. it can contain UAV UEs height, location information and/or RSRP/RSRQ measurement results).</w:t>
      </w:r>
      <w:r>
        <w:rPr>
          <w:rFonts w:hint="default" w:eastAsia="宋体" w:cs="Times New Roman"/>
          <w:color w:val="auto"/>
          <w:szCs w:val="24"/>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 xml:space="preserve">An new indication (e.g. </w:t>
      </w:r>
      <w:r>
        <w:rPr>
          <w:rFonts w:hint="eastAsia" w:cs="Times New Roman"/>
          <w:b w:val="0"/>
          <w:bCs w:val="0"/>
          <w:i/>
          <w:iCs/>
          <w:sz w:val="21"/>
          <w:szCs w:val="21"/>
          <w:lang w:val="en-US" w:eastAsia="zh-CN"/>
        </w:rPr>
        <w:t xml:space="preserve">includeQuantities </w:t>
      </w:r>
      <w:r>
        <w:rPr>
          <w:rFonts w:hint="eastAsia" w:cs="Times New Roman"/>
          <w:b w:val="0"/>
          <w:bCs w:val="0"/>
          <w:sz w:val="21"/>
          <w:szCs w:val="21"/>
          <w:lang w:val="en-US" w:eastAsia="zh-CN"/>
        </w:rPr>
        <w:t xml:space="preserve">IE) can be introduced in the </w:t>
      </w:r>
      <w:r>
        <w:rPr>
          <w:rFonts w:hint="eastAsia" w:cs="Times New Roman"/>
          <w:b w:val="0"/>
          <w:bCs w:val="0"/>
          <w:i/>
          <w:iCs/>
          <w:sz w:val="21"/>
          <w:szCs w:val="21"/>
          <w:lang w:val="en-US" w:eastAsia="zh-CN"/>
        </w:rPr>
        <w:t xml:space="preserve">ReportConfigNR </w:t>
      </w:r>
      <w:r>
        <w:rPr>
          <w:rFonts w:hint="eastAsia" w:cs="Times New Roman"/>
          <w:b w:val="0"/>
          <w:bCs w:val="0"/>
          <w:sz w:val="21"/>
          <w:szCs w:val="21"/>
          <w:lang w:val="en-US" w:eastAsia="zh-CN"/>
        </w:rPr>
        <w:t>IE to indicate whether the RSRP/RSRQ/SINR measurement results shall be included in the measurement report triggered by event H1 or H2. The indication can be introduced by a SEQUENCE structure to separately indicate which quantities results are required in the measurement report.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Proposal 2: An new indication (e.g. includeQuantities IE) is introduced in the ReportConfigNR to indicate whether the RSRP/RSRQ/SINR measurement result is required to be included in the measurement report triggered by event H1 or H2. The indication can be introduced by a SEQUENCE structure to separately indicate which quantities results are required in the measurement report.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 xml:space="preserve">Currently in NR, the NW can configure </w:t>
      </w:r>
      <w:r>
        <w:rPr>
          <w:rFonts w:hint="eastAsia" w:cs="Times New Roman"/>
          <w:b w:val="0"/>
          <w:bCs w:val="0"/>
          <w:i/>
          <w:iCs/>
          <w:sz w:val="21"/>
          <w:szCs w:val="21"/>
          <w:lang w:val="en-US" w:eastAsia="zh-CN"/>
        </w:rPr>
        <w:t xml:space="preserve">includeCommonLocationInfo </w:t>
      </w:r>
      <w:r>
        <w:rPr>
          <w:rFonts w:hint="eastAsia" w:cs="Times New Roman"/>
          <w:b w:val="0"/>
          <w:bCs w:val="0"/>
          <w:sz w:val="21"/>
          <w:szCs w:val="21"/>
          <w:lang w:val="en-US" w:eastAsia="zh-CN"/>
        </w:rPr>
        <w:t xml:space="preserve">IE in </w:t>
      </w:r>
      <w:r>
        <w:rPr>
          <w:rFonts w:hint="eastAsia" w:cs="Times New Roman"/>
          <w:b w:val="0"/>
          <w:bCs w:val="0"/>
          <w:i/>
          <w:iCs/>
          <w:sz w:val="21"/>
          <w:szCs w:val="21"/>
          <w:lang w:val="en-US" w:eastAsia="zh-CN"/>
        </w:rPr>
        <w:t xml:space="preserve">ReportConfigNR </w:t>
      </w:r>
      <w:r>
        <w:rPr>
          <w:rFonts w:hint="eastAsia" w:cs="Times New Roman"/>
          <w:b w:val="0"/>
          <w:bCs w:val="0"/>
          <w:sz w:val="21"/>
          <w:szCs w:val="21"/>
          <w:lang w:val="en-US" w:eastAsia="zh-CN"/>
        </w:rPr>
        <w:t xml:space="preserve">to indicate whether to include the location information in the measurement report.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bidi w:val="0"/>
              <w:rPr>
                <w:b/>
                <w:bCs/>
                <w:lang w:eastAsia="ja-JP"/>
              </w:rPr>
            </w:pPr>
            <w:bookmarkStart w:id="23" w:name="_Toc124712769"/>
            <w:r>
              <w:rPr>
                <w:rFonts w:hint="eastAsia" w:cs="Times New Roman"/>
                <w:b/>
                <w:bCs/>
                <w:color w:val="0070C0"/>
                <w:sz w:val="21"/>
                <w:szCs w:val="21"/>
                <w:lang w:val="en-US" w:eastAsia="zh-CN"/>
              </w:rPr>
              <w:t>From TS 38.331</w:t>
            </w:r>
          </w:p>
          <w:p>
            <w:pPr>
              <w:pStyle w:val="4"/>
              <w:widowControl/>
              <w:numPr>
                <w:ilvl w:val="2"/>
                <w:numId w:val="0"/>
              </w:numPr>
              <w:pBdr>
                <w:top w:val="none" w:color="auto" w:sz="0" w:space="0"/>
              </w:pBdr>
              <w:tabs>
                <w:tab w:val="left" w:pos="575"/>
              </w:tabs>
              <w:spacing w:before="120" w:after="180" w:line="240" w:lineRule="auto"/>
              <w:ind w:leftChars="0"/>
              <w:jc w:val="left"/>
              <w:rPr>
                <w:rFonts w:eastAsia="Times New Roman" w:cs="Times New Roman"/>
                <w:b w:val="0"/>
                <w:bCs w:val="0"/>
                <w:kern w:val="0"/>
                <w:sz w:val="28"/>
                <w:szCs w:val="20"/>
                <w:lang w:eastAsia="ja-JP" w:bidi="ar-SA"/>
              </w:rPr>
            </w:pPr>
            <w:r>
              <w:rPr>
                <w:rFonts w:eastAsia="Times New Roman" w:cs="Times New Roman"/>
                <w:b w:val="0"/>
                <w:bCs w:val="0"/>
                <w:kern w:val="0"/>
                <w:sz w:val="28"/>
                <w:szCs w:val="20"/>
                <w:lang w:eastAsia="ja-JP" w:bidi="ar-SA"/>
              </w:rPr>
              <w:t>5.5.5</w:t>
            </w:r>
            <w:r>
              <w:rPr>
                <w:rFonts w:eastAsia="Times New Roman" w:cs="Times New Roman"/>
                <w:b w:val="0"/>
                <w:bCs w:val="0"/>
                <w:kern w:val="0"/>
                <w:sz w:val="28"/>
                <w:szCs w:val="20"/>
                <w:lang w:eastAsia="ja-JP" w:bidi="ar-SA"/>
              </w:rPr>
              <w:tab/>
            </w:r>
            <w:r>
              <w:rPr>
                <w:rFonts w:eastAsia="Times New Roman" w:cs="Times New Roman"/>
                <w:b w:val="0"/>
                <w:bCs w:val="0"/>
                <w:kern w:val="0"/>
                <w:sz w:val="28"/>
                <w:szCs w:val="20"/>
                <w:lang w:eastAsia="ja-JP" w:bidi="ar-SA"/>
              </w:rPr>
              <w:t>Measurement reporting</w:t>
            </w:r>
            <w:bookmarkEnd w:id="23"/>
          </w:p>
          <w:p>
            <w:pPr>
              <w:pStyle w:val="5"/>
              <w:widowControl/>
              <w:numPr>
                <w:ilvl w:val="2"/>
                <w:numId w:val="0"/>
              </w:numPr>
              <w:pBdr>
                <w:top w:val="none" w:color="auto" w:sz="0" w:space="0"/>
              </w:pBdr>
              <w:tabs>
                <w:tab w:val="left" w:pos="575"/>
                <w:tab w:val="clear" w:pos="864"/>
                <w:tab w:val="clear" w:pos="2071"/>
              </w:tabs>
              <w:spacing w:before="120" w:after="180" w:line="240" w:lineRule="auto"/>
              <w:ind w:leftChars="0"/>
              <w:jc w:val="left"/>
              <w:rPr>
                <w:rFonts w:eastAsia="Times New Roman" w:cs="Times New Roman"/>
                <w:b w:val="0"/>
                <w:bCs w:val="0"/>
                <w:kern w:val="0"/>
                <w:sz w:val="24"/>
                <w:szCs w:val="20"/>
                <w:lang w:eastAsia="ja-JP" w:bidi="ar-SA"/>
              </w:rPr>
            </w:pPr>
            <w:bookmarkStart w:id="24" w:name="_Toc124712770"/>
            <w:bookmarkStart w:id="25" w:name="_Toc60776901"/>
            <w:r>
              <w:rPr>
                <w:rFonts w:eastAsia="Times New Roman" w:cs="Times New Roman"/>
                <w:b w:val="0"/>
                <w:bCs w:val="0"/>
                <w:kern w:val="0"/>
                <w:sz w:val="24"/>
                <w:szCs w:val="20"/>
                <w:lang w:eastAsia="ja-JP" w:bidi="ar-SA"/>
              </w:rPr>
              <w:t>5.5.5.1</w:t>
            </w:r>
            <w:r>
              <w:rPr>
                <w:rFonts w:eastAsia="Times New Roman" w:cs="Times New Roman"/>
                <w:b w:val="0"/>
                <w:bCs w:val="0"/>
                <w:kern w:val="0"/>
                <w:sz w:val="24"/>
                <w:szCs w:val="20"/>
                <w:lang w:eastAsia="ja-JP" w:bidi="ar-SA"/>
              </w:rPr>
              <w:tab/>
            </w:r>
            <w:r>
              <w:rPr>
                <w:rFonts w:eastAsia="Times New Roman" w:cs="Times New Roman"/>
                <w:b w:val="0"/>
                <w:bCs w:val="0"/>
                <w:kern w:val="0"/>
                <w:sz w:val="24"/>
                <w:szCs w:val="20"/>
                <w:lang w:eastAsia="ja-JP" w:bidi="ar-SA"/>
              </w:rPr>
              <w:t>General</w:t>
            </w:r>
            <w:bookmarkEnd w:id="24"/>
            <w:bookmarkEnd w:id="25"/>
          </w:p>
          <w:p>
            <w:pPr>
              <w:pStyle w:val="94"/>
            </w:pPr>
            <w:r>
              <w:t>1&gt;</w:t>
            </w:r>
            <w:r>
              <w:tab/>
            </w:r>
            <w:r>
              <w:t xml:space="preserve">if the </w:t>
            </w:r>
            <w:r>
              <w:rPr>
                <w:i/>
                <w:iCs/>
                <w:highlight w:val="yellow"/>
              </w:rPr>
              <w:t>includeCommonLocationInfo</w:t>
            </w:r>
            <w:r>
              <w:rPr>
                <w:i/>
                <w:iCs/>
              </w:rPr>
              <w:t xml:space="preserve">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pPr>
              <w:pStyle w:val="106"/>
            </w:pPr>
            <w:r>
              <w:t>2&gt;</w:t>
            </w:r>
            <w:r>
              <w:tab/>
            </w:r>
            <w:r>
              <w:t xml:space="preserve">include the </w:t>
            </w:r>
            <w:r>
              <w:rPr>
                <w:i/>
              </w:rPr>
              <w:t>locationTimestamp</w:t>
            </w:r>
            <w:r>
              <w:t>;</w:t>
            </w:r>
          </w:p>
          <w:p>
            <w:pPr>
              <w:pStyle w:val="106"/>
            </w:pPr>
            <w:r>
              <w:t>2&gt;</w:t>
            </w:r>
            <w:r>
              <w:tab/>
            </w:r>
            <w:r>
              <w:t xml:space="preserve">include the </w:t>
            </w:r>
            <w:r>
              <w:rPr>
                <w:i/>
                <w:iCs/>
              </w:rPr>
              <w:t>locationCoordinate</w:t>
            </w:r>
            <w:r>
              <w:t>, if available;</w:t>
            </w:r>
          </w:p>
          <w:p>
            <w:pPr>
              <w:pStyle w:val="106"/>
            </w:pPr>
            <w:r>
              <w:t>2&gt;</w:t>
            </w:r>
            <w:r>
              <w:tab/>
            </w:r>
            <w:r>
              <w:t xml:space="preserve">include the </w:t>
            </w:r>
            <w:r>
              <w:rPr>
                <w:i/>
                <w:iCs/>
              </w:rPr>
              <w:t>velocityEstimate</w:t>
            </w:r>
            <w:r>
              <w:t>, if available;</w:t>
            </w:r>
          </w:p>
          <w:p>
            <w:pPr>
              <w:pStyle w:val="106"/>
            </w:pPr>
            <w:r>
              <w:t>2&gt;</w:t>
            </w:r>
            <w:r>
              <w:tab/>
            </w:r>
            <w:r>
              <w:t xml:space="preserve">include the </w:t>
            </w:r>
            <w:r>
              <w:rPr>
                <w:i/>
                <w:iCs/>
              </w:rPr>
              <w:t>locationError</w:t>
            </w:r>
            <w:r>
              <w:t>, if available;</w:t>
            </w:r>
          </w:p>
          <w:p>
            <w:pPr>
              <w:pStyle w:val="106"/>
            </w:pPr>
            <w:r>
              <w:t>2&gt;</w:t>
            </w:r>
            <w:r>
              <w:tab/>
            </w:r>
            <w:r>
              <w:t xml:space="preserve">include the </w:t>
            </w:r>
            <w:r>
              <w:rPr>
                <w:i/>
                <w:iCs/>
              </w:rPr>
              <w:t>locationSource</w:t>
            </w:r>
            <w:r>
              <w:t>, if available;</w:t>
            </w:r>
          </w:p>
          <w:p>
            <w:pPr>
              <w:pStyle w:val="106"/>
              <w:rPr>
                <w:rFonts w:hint="default" w:cs="Times New Roman"/>
                <w:b w:val="0"/>
                <w:bCs w:val="0"/>
                <w:sz w:val="21"/>
                <w:szCs w:val="21"/>
                <w:vertAlign w:val="baseline"/>
                <w:lang w:val="en-US" w:eastAsia="zh-CN"/>
              </w:rPr>
            </w:pPr>
            <w:r>
              <w:t>2&gt;</w:t>
            </w:r>
            <w:r>
              <w:tab/>
            </w:r>
            <w:r>
              <w:t xml:space="preserve">if available, include the </w:t>
            </w:r>
            <w:r>
              <w:rPr>
                <w:i/>
                <w:iCs/>
              </w:rPr>
              <w:t>gnss-TOD-msec</w:t>
            </w:r>
            <w:r>
              <w:t>,</w:t>
            </w:r>
          </w:p>
        </w:tc>
      </w:tr>
    </w:tbl>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default" w:ascii="Times New Roman" w:hAnsi="Times New Roman" w:eastAsia="Times New Roman" w:cs="Times New Roman"/>
          <w:kern w:val="0"/>
          <w:sz w:val="21"/>
          <w:szCs w:val="21"/>
          <w:lang w:val="en-US" w:eastAsia="ja-JP"/>
        </w:rPr>
      </w:pPr>
      <w:r>
        <w:rPr>
          <w:rFonts w:hint="eastAsia" w:cs="Times New Roman"/>
          <w:b w:val="0"/>
          <w:bCs w:val="0"/>
          <w:sz w:val="21"/>
          <w:szCs w:val="21"/>
          <w:lang w:val="en-US" w:eastAsia="zh-CN"/>
        </w:rPr>
        <w:t>The p</w:t>
      </w:r>
      <w:r>
        <w:rPr>
          <w:rFonts w:hint="default" w:cs="Times New Roman"/>
          <w:b w:val="0"/>
          <w:bCs w:val="0"/>
          <w:sz w:val="21"/>
          <w:szCs w:val="21"/>
          <w:lang w:val="en-US" w:eastAsia="zh-CN"/>
        </w:rPr>
        <w:t xml:space="preserve">arameters from </w:t>
      </w:r>
      <w:r>
        <w:rPr>
          <w:rFonts w:hint="default" w:cs="Times New Roman"/>
          <w:b w:val="0"/>
          <w:bCs w:val="0"/>
          <w:i/>
          <w:iCs/>
          <w:sz w:val="21"/>
          <w:szCs w:val="21"/>
          <w:lang w:val="en-US" w:eastAsia="zh-CN"/>
        </w:rPr>
        <w:t>CommonLocationInfo</w:t>
      </w:r>
      <w:r>
        <w:rPr>
          <w:rFonts w:hint="eastAsia" w:cs="Times New Roman"/>
          <w:b w:val="0"/>
          <w:bCs w:val="0"/>
          <w:i/>
          <w:iCs/>
          <w:sz w:val="21"/>
          <w:szCs w:val="21"/>
          <w:lang w:val="en-US" w:eastAsia="zh-CN"/>
        </w:rPr>
        <w:t xml:space="preserve"> </w:t>
      </w:r>
      <w:r>
        <w:rPr>
          <w:rFonts w:hint="eastAsia" w:cs="Times New Roman"/>
          <w:b w:val="0"/>
          <w:bCs w:val="0"/>
          <w:sz w:val="21"/>
          <w:szCs w:val="21"/>
          <w:lang w:val="en-US" w:eastAsia="zh-CN"/>
        </w:rPr>
        <w:t xml:space="preserve">are related to location info, location time and velocity info, which could be useful for UAV UE. We think the current indication (i.e. </w:t>
      </w:r>
      <w:r>
        <w:rPr>
          <w:rFonts w:hint="eastAsia" w:cs="Times New Roman"/>
          <w:b w:val="0"/>
          <w:bCs w:val="0"/>
          <w:i/>
          <w:iCs/>
          <w:sz w:val="21"/>
          <w:szCs w:val="21"/>
          <w:lang w:val="en-US" w:eastAsia="zh-CN"/>
        </w:rPr>
        <w:t xml:space="preserve">includeCommonLocationInfo </w:t>
      </w:r>
      <w:r>
        <w:rPr>
          <w:rFonts w:hint="eastAsia" w:cs="Times New Roman"/>
          <w:b w:val="0"/>
          <w:bCs w:val="0"/>
          <w:sz w:val="21"/>
          <w:szCs w:val="21"/>
          <w:lang w:val="en-US" w:eastAsia="zh-CN"/>
        </w:rPr>
        <w:t>IE) can be reused for measurement report triggered by event H1 or H2. If any other parameters are required for UAV UE</w:t>
      </w:r>
      <w:r>
        <w:rPr>
          <w:rFonts w:hint="default" w:cs="Times New Roman"/>
          <w:b w:val="0"/>
          <w:bCs w:val="0"/>
          <w:sz w:val="21"/>
          <w:szCs w:val="21"/>
          <w:lang w:val="en-US" w:eastAsia="zh-CN"/>
        </w:rPr>
        <w:t>’</w:t>
      </w:r>
      <w:r>
        <w:rPr>
          <w:rFonts w:hint="eastAsia" w:cs="Times New Roman"/>
          <w:b w:val="0"/>
          <w:bCs w:val="0"/>
          <w:sz w:val="21"/>
          <w:szCs w:val="21"/>
          <w:lang w:val="en-US" w:eastAsia="zh-CN"/>
        </w:rPr>
        <w:t>s location reporting, the requirement should be firstly evaluated on SA2. And then we can consider the signaling design at RAN2.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3</w:t>
      </w:r>
      <w:r>
        <w:rPr>
          <w:rFonts w:hint="eastAsia" w:ascii="Times New Roman" w:hAnsi="Times New Roman" w:cs="Times New Roman"/>
          <w:b/>
          <w:bCs/>
          <w:i w:val="0"/>
          <w:iCs w:val="0"/>
          <w:sz w:val="21"/>
          <w:szCs w:val="21"/>
          <w:lang w:val="en-US" w:eastAsia="zh-CN"/>
        </w:rPr>
        <w:t>: The includeCommonLocationInfo IE in the ReportConfigNR is reused to indicate whether the location information (if available) is required to be included in the 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4</w:t>
      </w:r>
      <w:r>
        <w:rPr>
          <w:rFonts w:hint="eastAsia" w:ascii="Times New Roman" w:hAnsi="Times New Roman" w:cs="Times New Roman"/>
          <w:b/>
          <w:bCs/>
          <w:i w:val="0"/>
          <w:iCs w:val="0"/>
          <w:sz w:val="21"/>
          <w:szCs w:val="21"/>
          <w:lang w:val="en-US" w:eastAsia="zh-CN"/>
        </w:rPr>
        <w:t>: The parameters in the CommonLocationInfo IE are reused for UAV UEs</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 location reporting.</w:t>
      </w:r>
    </w:p>
    <w:p>
      <w:pPr>
        <w:keepNext w:val="0"/>
        <w:keepLines w:val="0"/>
        <w:pageBreakBefore w:val="0"/>
        <w:widowControl w:val="0"/>
        <w:numPr>
          <w:ilvl w:val="0"/>
          <w:numId w:val="0"/>
        </w:numPr>
        <w:kinsoku/>
        <w:wordWrap/>
        <w:topLinePunct w:val="0"/>
        <w:bidi w:val="0"/>
        <w:snapToGrid/>
        <w:spacing w:after="120" w:line="240" w:lineRule="auto"/>
        <w:jc w:val="both"/>
        <w:rPr>
          <w:rFonts w:hint="eastAsia" w:cs="Times New Roman"/>
          <w:b/>
          <w:bCs/>
          <w:sz w:val="21"/>
          <w:szCs w:val="21"/>
          <w:lang w:val="en-US" w:eastAsia="zh-CN"/>
        </w:rPr>
      </w:pPr>
    </w:p>
    <w:p>
      <w:pPr>
        <w:keepNext/>
        <w:keepLines/>
        <w:widowControl/>
        <w:numPr>
          <w:ilvl w:val="1"/>
          <w:numId w:val="0"/>
        </w:numPr>
        <w:overflowPunct w:val="0"/>
        <w:autoSpaceDE w:val="0"/>
        <w:autoSpaceDN w:val="0"/>
        <w:bidi w:val="0"/>
        <w:adjustRightInd w:val="0"/>
        <w:spacing w:before="180" w:after="180" w:line="240" w:lineRule="auto"/>
        <w:jc w:val="left"/>
        <w:textAlignment w:val="baseline"/>
        <w:outlineLvl w:val="1"/>
        <w:rPr>
          <w:rFonts w:hint="eastAsia" w:ascii="Arial" w:hAnsi="Arial" w:eastAsia="MS Mincho" w:cs="Times New Roman"/>
          <w:b w:val="0"/>
          <w:bCs w:val="0"/>
          <w:kern w:val="0"/>
          <w:sz w:val="24"/>
          <w:szCs w:val="32"/>
          <w:lang w:val="en-US" w:eastAsia="zh-CN" w:bidi="ar-SA"/>
        </w:rPr>
      </w:pPr>
      <w:r>
        <w:rPr>
          <w:rFonts w:hint="eastAsia" w:ascii="Arial" w:hAnsi="Arial" w:eastAsia="MS Mincho" w:cs="Times New Roman"/>
          <w:b w:val="0"/>
          <w:bCs w:val="0"/>
          <w:kern w:val="0"/>
          <w:sz w:val="24"/>
          <w:szCs w:val="32"/>
          <w:lang w:val="en-US" w:eastAsia="zh-CN" w:bidi="ar-SA"/>
        </w:rPr>
        <w:t>2.2 On events combination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It is agreed in RAN2</w:t>
      </w:r>
      <w:r>
        <w:rPr>
          <w:rFonts w:hint="eastAsia" w:cs="Times New Roman"/>
          <w:b w:val="0"/>
          <w:bCs w:val="0"/>
          <w:sz w:val="21"/>
          <w:szCs w:val="21"/>
          <w:lang w:val="en-US" w:eastAsia="zh-CN"/>
        </w:rPr>
        <w:t>#121</w:t>
      </w:r>
      <w:r>
        <w:rPr>
          <w:rFonts w:hint="default" w:ascii="Times New Roman" w:hAnsi="Times New Roman" w:cs="Times New Roman"/>
          <w:b w:val="0"/>
          <w:bCs w:val="0"/>
          <w:sz w:val="21"/>
          <w:szCs w:val="21"/>
          <w:lang w:val="en-US" w:eastAsia="zh-CN"/>
        </w:rPr>
        <w:t xml:space="preserve"> meeting that</w:t>
      </w:r>
    </w:p>
    <w:p>
      <w:pPr>
        <w:keepNext w:val="0"/>
        <w:keepLines w:val="0"/>
        <w:pageBreakBefore w:val="0"/>
        <w:widowControl/>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leftChars="0" w:hanging="360" w:firstLineChars="0"/>
        <w:textAlignment w:val="auto"/>
        <w:rPr>
          <w:rFonts w:hint="default" w:ascii="Times New Roman" w:hAnsi="Times New Roman" w:eastAsia="MS Mincho" w:cs="Times New Roman"/>
          <w:i/>
          <w:iCs/>
          <w:color w:val="auto"/>
          <w:sz w:val="21"/>
          <w:szCs w:val="21"/>
          <w:highlight w:val="none"/>
          <w:lang w:val="en-GB" w:eastAsia="en-GB" w:bidi="ar-SA"/>
        </w:rPr>
      </w:pPr>
      <w:r>
        <w:rPr>
          <w:rFonts w:hint="default" w:ascii="Times New Roman" w:hAnsi="Times New Roman" w:eastAsia="MS Mincho" w:cs="Times New Roman"/>
          <w:color w:val="auto"/>
          <w:sz w:val="21"/>
          <w:szCs w:val="21"/>
          <w:highlight w:val="none"/>
          <w:lang w:val="en-GB" w:eastAsia="en-GB" w:bidi="ar-SA"/>
        </w:rPr>
        <w:t>Joint use of height-dependent condition and RSRP/RSRQ/SINR-based condition for measurement report triggering is supported in NR Rel-18 UAV. The combination of existing events will be used</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0"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Regarding how to combine height-dependent condition and RSRP/RSRQ/SINR-based condition, there are 2 options:</w:t>
      </w:r>
    </w:p>
    <w:p>
      <w:pPr>
        <w:keepNext w:val="0"/>
        <w:keepLines w:val="0"/>
        <w:pageBreakBefore w:val="0"/>
        <w:widowControl w:val="0"/>
        <w:numPr>
          <w:ilvl w:val="0"/>
          <w:numId w:val="6"/>
        </w:numPr>
        <w:kinsoku/>
        <w:wordWrap/>
        <w:overflowPunct/>
        <w:topLinePunct w:val="0"/>
        <w:autoSpaceDE/>
        <w:autoSpaceDN/>
        <w:bidi w:val="0"/>
        <w:adjustRightInd/>
        <w:snapToGrid/>
        <w:spacing w:after="120" w:line="240" w:lineRule="auto"/>
        <w:ind w:left="840" w:leftChars="0" w:hanging="42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Option 1: one measurement ID to link with one measurement object with two report configuration (i.e. one report configuration for event H1/2, the other one for event Ax)</w:t>
      </w:r>
    </w:p>
    <w:p>
      <w:pPr>
        <w:keepNext w:val="0"/>
        <w:keepLines w:val="0"/>
        <w:pageBreakBefore w:val="0"/>
        <w:widowControl w:val="0"/>
        <w:numPr>
          <w:ilvl w:val="0"/>
          <w:numId w:val="6"/>
        </w:numPr>
        <w:kinsoku/>
        <w:wordWrap/>
        <w:overflowPunct/>
        <w:topLinePunct w:val="0"/>
        <w:autoSpaceDE/>
        <w:autoSpaceDN/>
        <w:bidi w:val="0"/>
        <w:adjustRightInd/>
        <w:snapToGrid/>
        <w:spacing w:after="120" w:line="240" w:lineRule="auto"/>
        <w:ind w:left="840" w:leftChars="0" w:hanging="420" w:firstLineChars="0"/>
        <w:jc w:val="both"/>
        <w:textAlignment w:val="auto"/>
        <w:rPr>
          <w:rFonts w:hint="default" w:ascii="Times New Roman" w:hAnsi="Times New Roman" w:cs="Times New Roman"/>
          <w:b w:val="0"/>
          <w:bCs w:val="0"/>
          <w:sz w:val="21"/>
          <w:szCs w:val="21"/>
          <w:highlight w:val="none"/>
          <w:lang w:val="en-US" w:eastAsia="zh-CN"/>
        </w:rPr>
      </w:pPr>
      <w:r>
        <w:rPr>
          <w:rFonts w:hint="default" w:ascii="Times New Roman" w:hAnsi="Times New Roman" w:cs="Times New Roman"/>
          <w:b w:val="0"/>
          <w:bCs w:val="0"/>
          <w:sz w:val="21"/>
          <w:szCs w:val="21"/>
          <w:highlight w:val="none"/>
          <w:lang w:val="en-US" w:eastAsia="zh-CN"/>
        </w:rPr>
        <w:t xml:space="preserve">Option 2: combination of two measurement IDs </w:t>
      </w:r>
      <w:r>
        <w:rPr>
          <w:rFonts w:hint="default" w:ascii="Times New Roman" w:hAnsi="Times New Roman" w:cs="Times New Roman"/>
          <w:b w:val="0"/>
          <w:bCs w:val="0"/>
          <w:sz w:val="21"/>
          <w:szCs w:val="21"/>
          <w:lang w:val="en-US" w:eastAsia="zh-CN"/>
        </w:rPr>
        <w:t>(i.e. one measId for event H1/2, the other measId for event Ax)</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For option 1, it shall break the current restriction on measurement ID that each measurement identity links one measurement object with one reporting configuration.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The option 2 is aligned with the solution that has been used in the conditional reconfiguration triggering events combination. In conditional reconfiguration (e.g. CHO, CPAC), an execution condition may include two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for two triggering conditions. The UE shall initiate the execution condition evaluation only when event(s) associated to all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for the candidate cell are fulfilled.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488" w:leftChars="0" w:hanging="1488" w:hangingChars="706"/>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Observation </w:t>
      </w:r>
      <w:r>
        <w:rPr>
          <w:rFonts w:hint="eastAsia" w:ascii="Times New Roman" w:hAnsi="Times New Roman" w:cs="Times New Roman"/>
          <w:b/>
          <w:bCs/>
          <w:i w:val="0"/>
          <w:iCs w:val="0"/>
          <w:sz w:val="21"/>
          <w:szCs w:val="21"/>
          <w:lang w:val="en-US" w:eastAsia="zh-CN"/>
        </w:rPr>
        <w:t>1</w:t>
      </w:r>
      <w:r>
        <w:rPr>
          <w:rFonts w:hint="default" w:ascii="Times New Roman" w:hAnsi="Times New Roman" w:cs="Times New Roman"/>
          <w:b/>
          <w:bCs/>
          <w:i w:val="0"/>
          <w:iCs w:val="0"/>
          <w:sz w:val="21"/>
          <w:szCs w:val="21"/>
          <w:lang w:val="en-US" w:eastAsia="zh-CN"/>
        </w:rPr>
        <w:t xml:space="preserve">: Combination of two triggering conditions has been discussed in Rel-16 CHO. Currently, combination of two measIds is used to present the combination of different triggering conditions in the execution condition for conditional reconfiguration (e.g. CHO, CPAC).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Considering that we had spent much time to discuss how to define the combination of triggering events and how to determine whether two triggering conditions are met in Rel-16 CHO discussion, we can simply reuse the similar mechanism in the joint use of different conditions for measurement reporting in NR UAV. In order to configu</w:t>
      </w:r>
      <w:r>
        <w:rPr>
          <w:rFonts w:hint="eastAsia" w:ascii="Times New Roman" w:hAnsi="Times New Roman" w:cs="Times New Roman"/>
          <w:b w:val="0"/>
          <w:bCs w:val="0"/>
          <w:sz w:val="21"/>
          <w:szCs w:val="21"/>
          <w:lang w:val="en-US" w:eastAsia="zh-CN"/>
        </w:rPr>
        <w:t>re</w:t>
      </w: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the </w:t>
      </w:r>
      <w:r>
        <w:rPr>
          <w:rFonts w:hint="default" w:ascii="Times New Roman" w:hAnsi="Times New Roman" w:cs="Times New Roman"/>
          <w:b w:val="0"/>
          <w:bCs w:val="0"/>
          <w:sz w:val="21"/>
          <w:szCs w:val="21"/>
          <w:lang w:val="en-US" w:eastAsia="zh-CN"/>
        </w:rPr>
        <w:t xml:space="preserve">association of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a combined measurement ID can be introduced to indicate the combination between the measurement ID for event H1/H2 and the measurement ID for event Ax.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ascii="Times New Roman" w:hAnsi="Times New Roman" w:cs="Times New Roman"/>
          <w:b/>
          <w:bCs/>
          <w:i w:val="0"/>
          <w:iCs w:val="0"/>
          <w:sz w:val="21"/>
          <w:szCs w:val="21"/>
          <w:lang w:val="en-US" w:eastAsia="zh-CN"/>
        </w:rPr>
        <w:t>5</w:t>
      </w:r>
      <w:r>
        <w:rPr>
          <w:rFonts w:hint="default" w:ascii="Times New Roman" w:hAnsi="Times New Roman" w:cs="Times New Roman"/>
          <w:b/>
          <w:bCs/>
          <w:i w:val="0"/>
          <w:iCs w:val="0"/>
          <w:sz w:val="21"/>
          <w:szCs w:val="21"/>
          <w:lang w:val="en-US" w:eastAsia="zh-CN"/>
        </w:rPr>
        <w:t>: The combination of event H1 or H2 with event Ax is indicated by the combination of measId(s), e.g. to associate one measId for event H1/2 with the other measId for event Ax. A new measurement identifier (e.g. combinedMeasId IE) can be introduced to indicate the combination of measId(s).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One important aspect that has been raised and needs to be resolved is how to ensure the coexistence of combined H1/H2 and standalone H1/H2., e.g., if both events trigger, is the NW receiving duplicated reports?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In order to avoid duplicated measurement reports triggered by both events, in case that the </w:t>
      </w:r>
      <w:r>
        <w:rPr>
          <w:rFonts w:hint="default" w:ascii="Times New Roman" w:hAnsi="Times New Roman" w:cs="Times New Roman"/>
          <w:b w:val="0"/>
          <w:bCs w:val="0"/>
          <w:i/>
          <w:iCs/>
          <w:sz w:val="21"/>
          <w:szCs w:val="21"/>
          <w:lang w:val="en-US" w:eastAsia="zh-CN"/>
        </w:rPr>
        <w:t xml:space="preserve">measId </w:t>
      </w:r>
      <w:r>
        <w:rPr>
          <w:rFonts w:hint="default" w:ascii="Times New Roman" w:hAnsi="Times New Roman" w:cs="Times New Roman"/>
          <w:b w:val="0"/>
          <w:bCs w:val="0"/>
          <w:sz w:val="21"/>
          <w:szCs w:val="21"/>
          <w:lang w:val="en-US" w:eastAsia="zh-CN"/>
        </w:rPr>
        <w:t xml:space="preserve">for event H1/H2 is associated with other </w:t>
      </w:r>
      <w:r>
        <w:rPr>
          <w:rFonts w:hint="default" w:ascii="Times New Roman" w:hAnsi="Times New Roman" w:cs="Times New Roman"/>
          <w:b w:val="0"/>
          <w:bCs w:val="0"/>
          <w:i/>
          <w:iCs/>
          <w:sz w:val="21"/>
          <w:szCs w:val="21"/>
          <w:lang w:val="en-US" w:eastAsia="zh-CN"/>
        </w:rPr>
        <w:t>measId</w:t>
      </w:r>
      <w:r>
        <w:rPr>
          <w:rFonts w:hint="default" w:ascii="Times New Roman" w:hAnsi="Times New Roman" w:cs="Times New Roman"/>
          <w:b w:val="0"/>
          <w:bCs w:val="0"/>
          <w:sz w:val="21"/>
          <w:szCs w:val="21"/>
          <w:lang w:val="en-US" w:eastAsia="zh-CN"/>
        </w:rPr>
        <w:t xml:space="preserve">, the UE shall trigger the measurement report only when events associated to all associated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are fulfilled. For example, if a </w:t>
      </w:r>
      <w:r>
        <w:rPr>
          <w:rFonts w:hint="default" w:ascii="Times New Roman" w:hAnsi="Times New Roman" w:cs="Times New Roman"/>
          <w:b w:val="0"/>
          <w:bCs w:val="0"/>
          <w:i/>
          <w:iCs/>
          <w:sz w:val="21"/>
          <w:szCs w:val="21"/>
          <w:lang w:val="en-US" w:eastAsia="zh-CN"/>
        </w:rPr>
        <w:t xml:space="preserve">combinedMeadId </w:t>
      </w:r>
      <w:r>
        <w:rPr>
          <w:rFonts w:hint="default" w:ascii="Times New Roman" w:hAnsi="Times New Roman" w:cs="Times New Roman"/>
          <w:b w:val="0"/>
          <w:bCs w:val="0"/>
          <w:sz w:val="21"/>
          <w:szCs w:val="21"/>
          <w:lang w:val="en-US" w:eastAsia="zh-CN"/>
        </w:rPr>
        <w:t xml:space="preserve">is defined, The UE shall initiate the measurement report only when event(s) associated to all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within </w:t>
      </w:r>
      <w:r>
        <w:rPr>
          <w:rFonts w:hint="default" w:ascii="Times New Roman" w:hAnsi="Times New Roman" w:cs="Times New Roman"/>
          <w:b w:val="0"/>
          <w:bCs w:val="0"/>
          <w:i/>
          <w:iCs/>
          <w:sz w:val="21"/>
          <w:szCs w:val="21"/>
          <w:lang w:val="en-US" w:eastAsia="zh-CN"/>
        </w:rPr>
        <w:t xml:space="preserve">combinedMeasId </w:t>
      </w:r>
      <w:r>
        <w:rPr>
          <w:rFonts w:hint="default" w:ascii="Times New Roman" w:hAnsi="Times New Roman" w:cs="Times New Roman"/>
          <w:b w:val="0"/>
          <w:bCs w:val="0"/>
          <w:sz w:val="21"/>
          <w:szCs w:val="21"/>
          <w:lang w:val="en-US" w:eastAsia="zh-CN"/>
        </w:rPr>
        <w:t xml:space="preserve">are fulfilled. Namely, the UE shall not redundantly trigger the measurement report for standalone event H1/H2 or event Ax if the event associated with the same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included in the </w:t>
      </w:r>
      <w:r>
        <w:rPr>
          <w:rFonts w:hint="default" w:ascii="Times New Roman" w:hAnsi="Times New Roman" w:cs="Times New Roman"/>
          <w:b w:val="0"/>
          <w:bCs w:val="0"/>
          <w:i/>
          <w:iCs/>
          <w:sz w:val="21"/>
          <w:szCs w:val="21"/>
          <w:lang w:val="en-US" w:eastAsia="zh-CN"/>
        </w:rPr>
        <w:t>combinedMeasId</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ascii="Times New Roman" w:hAnsi="Times New Roman" w:cs="Times New Roman"/>
          <w:b/>
          <w:bCs/>
          <w:i w:val="0"/>
          <w:iCs w:val="0"/>
          <w:sz w:val="21"/>
          <w:szCs w:val="21"/>
          <w:lang w:val="en-US" w:eastAsia="zh-CN"/>
        </w:rPr>
        <w:t>6</w:t>
      </w:r>
      <w:r>
        <w:rPr>
          <w:rFonts w:hint="default" w:ascii="Times New Roman" w:hAnsi="Times New Roman" w:cs="Times New Roman"/>
          <w:b/>
          <w:bCs/>
          <w:i w:val="0"/>
          <w:iCs w:val="0"/>
          <w:sz w:val="21"/>
          <w:szCs w:val="21"/>
          <w:lang w:val="en-US" w:eastAsia="zh-CN"/>
        </w:rPr>
        <w:t>: The UE initiate</w:t>
      </w:r>
      <w:r>
        <w:rPr>
          <w:rFonts w:hint="eastAsia" w:ascii="Times New Roman" w:hAnsi="Times New Roman" w:cs="Times New Roman"/>
          <w:b/>
          <w:bCs/>
          <w:i w:val="0"/>
          <w:iCs w:val="0"/>
          <w:sz w:val="21"/>
          <w:szCs w:val="21"/>
          <w:lang w:val="en-US" w:eastAsia="zh-CN"/>
        </w:rPr>
        <w:t>s</w:t>
      </w:r>
      <w:r>
        <w:rPr>
          <w:rFonts w:hint="default" w:ascii="Times New Roman" w:hAnsi="Times New Roman" w:cs="Times New Roman"/>
          <w:b/>
          <w:bCs/>
          <w:i w:val="0"/>
          <w:iCs w:val="0"/>
          <w:sz w:val="21"/>
          <w:szCs w:val="21"/>
          <w:lang w:val="en-US" w:eastAsia="zh-CN"/>
        </w:rPr>
        <w:t xml:space="preserve"> the measurement report only when both events in the combination are fulfilled, e.g. events associated to all measId(s) within combinedMeasId are fulfilled.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kinsoku/>
        <w:wordWrap/>
        <w:overflowPunct/>
        <w:topLinePunct w:val="0"/>
        <w:autoSpaceDE/>
        <w:autoSpaceDN/>
        <w:bidi w:val="0"/>
        <w:adjustRightInd/>
        <w:snapToGrid/>
        <w:spacing w:after="120" w:line="240" w:lineRule="auto"/>
        <w:textAlignment w:val="auto"/>
        <w:rPr>
          <w:rFonts w:hint="default" w:eastAsiaTheme="minorEastAsia"/>
          <w:i/>
          <w:iCs/>
          <w:u w:val="single"/>
          <w:lang w:val="en-US" w:eastAsia="zh-CN"/>
        </w:rPr>
      </w:pPr>
      <w:r>
        <w:rPr>
          <w:rFonts w:hint="eastAsia"/>
          <w:i/>
          <w:iCs/>
          <w:u w:val="single"/>
          <w:lang w:val="en-US" w:eastAsia="zh-CN"/>
        </w:rPr>
        <w:t xml:space="preserve">On the content of </w:t>
      </w:r>
      <w:r>
        <w:rPr>
          <w:rFonts w:hint="eastAsia" w:cs="Times New Roman"/>
          <w:i/>
          <w:iCs/>
          <w:u w:val="single"/>
          <w:lang w:val="en-US" w:eastAsia="zh-CN"/>
        </w:rPr>
        <w:t>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1: When event H1 or H2 triggers, the UE shall </w:t>
      </w:r>
      <w:r>
        <w:rPr>
          <w:rFonts w:hint="eastAsia" w:cs="Times New Roman"/>
          <w:b/>
          <w:bCs/>
          <w:i w:val="0"/>
          <w:iCs w:val="0"/>
          <w:sz w:val="21"/>
          <w:szCs w:val="21"/>
          <w:lang w:val="en-US" w:eastAsia="zh-CN"/>
        </w:rPr>
        <w:t>mandatorily</w:t>
      </w:r>
      <w:r>
        <w:rPr>
          <w:rFonts w:hint="eastAsia" w:ascii="Times New Roman" w:hAnsi="Times New Roman" w:cs="Times New Roman"/>
          <w:b/>
          <w:bCs/>
          <w:i w:val="0"/>
          <w:iCs w:val="0"/>
          <w:sz w:val="21"/>
          <w:szCs w:val="21"/>
          <w:lang w:val="en-US" w:eastAsia="zh-CN"/>
        </w:rPr>
        <w:t xml:space="preserve"> include the UAV UE</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s height in the separate IE within the measurement result. A separate IE (e.g. heightUE) is introduced for the height reporting triggered by event H1 or H2, as in LTE.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Proposal 2: An new indication (e.g. includeQuantities IE) is introduced in the ReportConfigNR to indicate whether the RSRP/RSRQ/SINR measurement result is required to be included in the measurement report triggered by event H1 or H2. The indication can be introduced by a SEQUENCE structure to separately indicate which quantities results are required in the measurement report.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3</w:t>
      </w:r>
      <w:r>
        <w:rPr>
          <w:rFonts w:hint="eastAsia" w:ascii="Times New Roman" w:hAnsi="Times New Roman" w:cs="Times New Roman"/>
          <w:b/>
          <w:bCs/>
          <w:i w:val="0"/>
          <w:iCs w:val="0"/>
          <w:sz w:val="21"/>
          <w:szCs w:val="21"/>
          <w:lang w:val="en-US" w:eastAsia="zh-CN"/>
        </w:rPr>
        <w:t>: The includeCommonLocationInfo IE in the ReportConfigNR is reused to indicate whether the location information (if available) is required to be included in the 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4</w:t>
      </w:r>
      <w:r>
        <w:rPr>
          <w:rFonts w:hint="eastAsia" w:ascii="Times New Roman" w:hAnsi="Times New Roman" w:cs="Times New Roman"/>
          <w:b/>
          <w:bCs/>
          <w:i w:val="0"/>
          <w:iCs w:val="0"/>
          <w:sz w:val="21"/>
          <w:szCs w:val="21"/>
          <w:lang w:val="en-US" w:eastAsia="zh-CN"/>
        </w:rPr>
        <w:t>: The parameters in the CommonLocationInfo IE are reused for UAV UEs</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 location reporting.</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val="0"/>
          <w:bCs w:val="0"/>
          <w:i/>
          <w:iCs/>
          <w:sz w:val="21"/>
          <w:szCs w:val="21"/>
          <w:u w:val="single"/>
          <w:lang w:val="en-US" w:eastAsia="zh-CN"/>
        </w:rPr>
      </w:pPr>
      <w:r>
        <w:rPr>
          <w:rFonts w:hint="eastAsia" w:cs="Times New Roman"/>
          <w:b w:val="0"/>
          <w:bCs w:val="0"/>
          <w:i/>
          <w:iCs/>
          <w:sz w:val="21"/>
          <w:szCs w:val="21"/>
          <w:u w:val="single"/>
          <w:lang w:val="en-US" w:eastAsia="zh-CN"/>
        </w:rPr>
        <w:t>On event combination mechanism:</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488" w:leftChars="0" w:hanging="1488" w:hangingChars="706"/>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Observation </w:t>
      </w:r>
      <w:r>
        <w:rPr>
          <w:rFonts w:hint="eastAsia" w:ascii="Times New Roman" w:hAnsi="Times New Roman" w:cs="Times New Roman"/>
          <w:b/>
          <w:bCs/>
          <w:i w:val="0"/>
          <w:iCs w:val="0"/>
          <w:sz w:val="21"/>
          <w:szCs w:val="21"/>
          <w:lang w:val="en-US" w:eastAsia="zh-CN"/>
        </w:rPr>
        <w:t>1</w:t>
      </w:r>
      <w:r>
        <w:rPr>
          <w:rFonts w:hint="default" w:ascii="Times New Roman" w:hAnsi="Times New Roman" w:cs="Times New Roman"/>
          <w:b/>
          <w:bCs/>
          <w:i w:val="0"/>
          <w:iCs w:val="0"/>
          <w:sz w:val="21"/>
          <w:szCs w:val="21"/>
          <w:lang w:val="en-US" w:eastAsia="zh-CN"/>
        </w:rPr>
        <w:t xml:space="preserve">: Combination of two triggering conditions has been discussed in Rel-16 CHO. Currently, combination of two measIds is used to present the combination of different triggering conditions in the execution condition for conditional reconfiguration (e.g. CHO, CPAC).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ascii="Times New Roman" w:hAnsi="Times New Roman" w:cs="Times New Roman"/>
          <w:b/>
          <w:bCs/>
          <w:i w:val="0"/>
          <w:iCs w:val="0"/>
          <w:sz w:val="21"/>
          <w:szCs w:val="21"/>
          <w:lang w:val="en-US" w:eastAsia="zh-CN"/>
        </w:rPr>
        <w:t>5</w:t>
      </w:r>
      <w:r>
        <w:rPr>
          <w:rFonts w:hint="default" w:ascii="Times New Roman" w:hAnsi="Times New Roman" w:cs="Times New Roman"/>
          <w:b/>
          <w:bCs/>
          <w:i w:val="0"/>
          <w:iCs w:val="0"/>
          <w:sz w:val="21"/>
          <w:szCs w:val="21"/>
          <w:lang w:val="en-US" w:eastAsia="zh-CN"/>
        </w:rPr>
        <w:t>: The combination of event H1 or H2 with event Ax is indicated by the combination of measId(s), e.g. to associate one measId for event H1/2 with the other measId for event Ax. A new measurement identifier (e.g. combinedMeasId IE) can be introduced to indicate the combination of measId(s).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ascii="Times New Roman" w:hAnsi="Times New Roman" w:cs="Times New Roman"/>
          <w:b/>
          <w:bCs/>
          <w:i w:val="0"/>
          <w:iCs w:val="0"/>
          <w:sz w:val="21"/>
          <w:szCs w:val="21"/>
          <w:lang w:val="en-US" w:eastAsia="zh-CN"/>
        </w:rPr>
        <w:t>6</w:t>
      </w:r>
      <w:r>
        <w:rPr>
          <w:rFonts w:hint="default" w:ascii="Times New Roman" w:hAnsi="Times New Roman" w:cs="Times New Roman"/>
          <w:b/>
          <w:bCs/>
          <w:i w:val="0"/>
          <w:iCs w:val="0"/>
          <w:sz w:val="21"/>
          <w:szCs w:val="21"/>
          <w:lang w:val="en-US" w:eastAsia="zh-CN"/>
        </w:rPr>
        <w:t>: The UE initiate</w:t>
      </w:r>
      <w:r>
        <w:rPr>
          <w:rFonts w:hint="eastAsia" w:ascii="Times New Roman" w:hAnsi="Times New Roman" w:cs="Times New Roman"/>
          <w:b/>
          <w:bCs/>
          <w:i w:val="0"/>
          <w:iCs w:val="0"/>
          <w:sz w:val="21"/>
          <w:szCs w:val="21"/>
          <w:lang w:val="en-US" w:eastAsia="zh-CN"/>
        </w:rPr>
        <w:t>s</w:t>
      </w:r>
      <w:r>
        <w:rPr>
          <w:rFonts w:hint="default" w:ascii="Times New Roman" w:hAnsi="Times New Roman" w:cs="Times New Roman"/>
          <w:b/>
          <w:bCs/>
          <w:i w:val="0"/>
          <w:iCs w:val="0"/>
          <w:sz w:val="21"/>
          <w:szCs w:val="21"/>
          <w:lang w:val="en-US" w:eastAsia="zh-CN"/>
        </w:rPr>
        <w:t xml:space="preserve"> the measurement report only when both events in the combination are fulfilled, e.g. events associated to all measId(s) within combinedMeasId are fulfilled.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cs="Times New Roman"/>
          <w:b w:val="0"/>
          <w:bCs w:val="0"/>
          <w:i/>
          <w:iCs/>
          <w:sz w:val="21"/>
          <w:szCs w:val="21"/>
          <w:lang w:val="en-US" w:eastAsia="zh-CN"/>
        </w:rPr>
      </w:pPr>
      <w:bookmarkStart w:id="26" w:name="_GoBack"/>
      <w:bookmarkEnd w:id="26"/>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after="120" w:line="240" w:lineRule="auto"/>
        <w:ind w:left="357" w:hanging="357"/>
        <w:textAlignment w:val="baseline"/>
        <w:rPr>
          <w:rFonts w:hint="default"/>
          <w:lang w:val="en-US" w:eastAsia="zh-CN"/>
        </w:rPr>
      </w:pPr>
      <w:r>
        <w:rPr>
          <w:rFonts w:hint="eastAsia"/>
          <w:lang w:val="en-US" w:eastAsia="zh-CN"/>
        </w:rPr>
        <w:t>RAN2#121 chairman notes</w:t>
      </w:r>
    </w:p>
    <w:sectPr>
      <w:pgSz w:w="11906" w:h="16838"/>
      <w:pgMar w:top="1417" w:right="1134" w:bottom="1134"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E7A45A"/>
    <w:multiLevelType w:val="singleLevel"/>
    <w:tmpl w:val="C2E7A45A"/>
    <w:lvl w:ilvl="0" w:tentative="0">
      <w:start w:val="1"/>
      <w:numFmt w:val="bullet"/>
      <w:lvlText w:val=""/>
      <w:lvlJc w:val="left"/>
      <w:pPr>
        <w:tabs>
          <w:tab w:val="left" w:pos="420"/>
        </w:tabs>
        <w:ind w:left="840" w:hanging="420"/>
      </w:pPr>
      <w:rPr>
        <w:rFonts w:hint="default" w:ascii="Wingdings" w:hAnsi="Wingdings"/>
      </w:rPr>
    </w:lvl>
  </w:abstractNum>
  <w:abstractNum w:abstractNumId="1">
    <w:nsid w:val="F53D17AE"/>
    <w:multiLevelType w:val="multilevel"/>
    <w:tmpl w:val="F53D17A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1D870E8"/>
    <w:multiLevelType w:val="multilevel"/>
    <w:tmpl w:val="31D870E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0"/>
  <w:doNotDisplayPageBoundaries w:val="1"/>
  <w:bordersDoNotSurroundHeader w:val="0"/>
  <w:bordersDoNotSurroundFooter w:val="0"/>
  <w:documentProtection w:enforcement="0"/>
  <w:defaultTabStop w:val="420"/>
  <w:hyphenationZone w:val="283"/>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C6FA5"/>
    <w:rsid w:val="028F0371"/>
    <w:rsid w:val="0293518F"/>
    <w:rsid w:val="0297259A"/>
    <w:rsid w:val="029C0A9A"/>
    <w:rsid w:val="02A2536A"/>
    <w:rsid w:val="02A7793D"/>
    <w:rsid w:val="02A8763C"/>
    <w:rsid w:val="02BA02BA"/>
    <w:rsid w:val="02C62E55"/>
    <w:rsid w:val="02E712F2"/>
    <w:rsid w:val="02E968F1"/>
    <w:rsid w:val="0310429F"/>
    <w:rsid w:val="03130048"/>
    <w:rsid w:val="03202434"/>
    <w:rsid w:val="03204437"/>
    <w:rsid w:val="032C42D8"/>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2360F"/>
    <w:rsid w:val="03BD31AF"/>
    <w:rsid w:val="03BE00C0"/>
    <w:rsid w:val="03D52450"/>
    <w:rsid w:val="03D63228"/>
    <w:rsid w:val="03E65927"/>
    <w:rsid w:val="03E9137F"/>
    <w:rsid w:val="03EA7693"/>
    <w:rsid w:val="03EB5E4F"/>
    <w:rsid w:val="03EC1D7B"/>
    <w:rsid w:val="03F148CD"/>
    <w:rsid w:val="03F334EB"/>
    <w:rsid w:val="03F61A65"/>
    <w:rsid w:val="03FA694A"/>
    <w:rsid w:val="03FE0DFE"/>
    <w:rsid w:val="04067142"/>
    <w:rsid w:val="040D6866"/>
    <w:rsid w:val="04167747"/>
    <w:rsid w:val="041C2081"/>
    <w:rsid w:val="042320E4"/>
    <w:rsid w:val="043373F7"/>
    <w:rsid w:val="043C128A"/>
    <w:rsid w:val="043E7F06"/>
    <w:rsid w:val="044469A4"/>
    <w:rsid w:val="04456CA0"/>
    <w:rsid w:val="0451320B"/>
    <w:rsid w:val="045749CF"/>
    <w:rsid w:val="045763FA"/>
    <w:rsid w:val="046F1C6A"/>
    <w:rsid w:val="047034F5"/>
    <w:rsid w:val="04754B65"/>
    <w:rsid w:val="04861082"/>
    <w:rsid w:val="048A123B"/>
    <w:rsid w:val="048C5BD9"/>
    <w:rsid w:val="04996B65"/>
    <w:rsid w:val="04C02971"/>
    <w:rsid w:val="04EB5671"/>
    <w:rsid w:val="04ED36E0"/>
    <w:rsid w:val="04FB5FD2"/>
    <w:rsid w:val="050C31AF"/>
    <w:rsid w:val="05174168"/>
    <w:rsid w:val="051E36E6"/>
    <w:rsid w:val="053166CA"/>
    <w:rsid w:val="05332C41"/>
    <w:rsid w:val="054C7D3F"/>
    <w:rsid w:val="054D4214"/>
    <w:rsid w:val="05526E77"/>
    <w:rsid w:val="056D39BD"/>
    <w:rsid w:val="05710C88"/>
    <w:rsid w:val="058267E3"/>
    <w:rsid w:val="058442CB"/>
    <w:rsid w:val="05961927"/>
    <w:rsid w:val="05B21BDC"/>
    <w:rsid w:val="05D1713F"/>
    <w:rsid w:val="05D92123"/>
    <w:rsid w:val="05DB1F60"/>
    <w:rsid w:val="05E024B6"/>
    <w:rsid w:val="05F13BE9"/>
    <w:rsid w:val="05F178AC"/>
    <w:rsid w:val="06017A73"/>
    <w:rsid w:val="06022874"/>
    <w:rsid w:val="060A555D"/>
    <w:rsid w:val="06136726"/>
    <w:rsid w:val="061F64DF"/>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4A02C8"/>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47A29"/>
    <w:rsid w:val="07E62C3B"/>
    <w:rsid w:val="07EC790A"/>
    <w:rsid w:val="07F50292"/>
    <w:rsid w:val="07FE63E8"/>
    <w:rsid w:val="080264AE"/>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E003FA"/>
    <w:rsid w:val="0AF957A7"/>
    <w:rsid w:val="0AFB4824"/>
    <w:rsid w:val="0B104C80"/>
    <w:rsid w:val="0B1537E9"/>
    <w:rsid w:val="0B1B0258"/>
    <w:rsid w:val="0B1D1E17"/>
    <w:rsid w:val="0B2F5449"/>
    <w:rsid w:val="0B3A6177"/>
    <w:rsid w:val="0B542366"/>
    <w:rsid w:val="0B565EA1"/>
    <w:rsid w:val="0B56665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0192A"/>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3C52DB"/>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CF5D35"/>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31939"/>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9705A"/>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AF376D"/>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2D53"/>
    <w:rsid w:val="10633DE5"/>
    <w:rsid w:val="106C51AC"/>
    <w:rsid w:val="107B7142"/>
    <w:rsid w:val="10834BCA"/>
    <w:rsid w:val="1085601B"/>
    <w:rsid w:val="10870262"/>
    <w:rsid w:val="10993A5B"/>
    <w:rsid w:val="109A2B86"/>
    <w:rsid w:val="109C7E53"/>
    <w:rsid w:val="109D01C9"/>
    <w:rsid w:val="109E5C77"/>
    <w:rsid w:val="10A15BAF"/>
    <w:rsid w:val="10A54549"/>
    <w:rsid w:val="10AD1F54"/>
    <w:rsid w:val="10B20497"/>
    <w:rsid w:val="10B2230B"/>
    <w:rsid w:val="10BA6965"/>
    <w:rsid w:val="10C91FA9"/>
    <w:rsid w:val="10D80BBB"/>
    <w:rsid w:val="10DC7FF8"/>
    <w:rsid w:val="10F55A3F"/>
    <w:rsid w:val="110651DD"/>
    <w:rsid w:val="110A40E9"/>
    <w:rsid w:val="11186F4B"/>
    <w:rsid w:val="11276D5B"/>
    <w:rsid w:val="112A395D"/>
    <w:rsid w:val="112C68E5"/>
    <w:rsid w:val="113112D9"/>
    <w:rsid w:val="11407272"/>
    <w:rsid w:val="114E07E1"/>
    <w:rsid w:val="115246AD"/>
    <w:rsid w:val="116C5EAE"/>
    <w:rsid w:val="116F5D3F"/>
    <w:rsid w:val="117E1607"/>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C22B12"/>
    <w:rsid w:val="12D86D99"/>
    <w:rsid w:val="12EC625A"/>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1A37"/>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35136"/>
    <w:rsid w:val="14E44113"/>
    <w:rsid w:val="14EA55B7"/>
    <w:rsid w:val="150E4907"/>
    <w:rsid w:val="151F751C"/>
    <w:rsid w:val="153D235D"/>
    <w:rsid w:val="154821B7"/>
    <w:rsid w:val="154A1648"/>
    <w:rsid w:val="154E25E9"/>
    <w:rsid w:val="155810A4"/>
    <w:rsid w:val="155C65AE"/>
    <w:rsid w:val="156A61CE"/>
    <w:rsid w:val="156B3378"/>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85AA9"/>
    <w:rsid w:val="15FD7743"/>
    <w:rsid w:val="160F2C35"/>
    <w:rsid w:val="161C2166"/>
    <w:rsid w:val="16203964"/>
    <w:rsid w:val="162810CA"/>
    <w:rsid w:val="16314D23"/>
    <w:rsid w:val="164F3FB1"/>
    <w:rsid w:val="16542691"/>
    <w:rsid w:val="16545026"/>
    <w:rsid w:val="165663D1"/>
    <w:rsid w:val="16585FCB"/>
    <w:rsid w:val="16620331"/>
    <w:rsid w:val="16657E45"/>
    <w:rsid w:val="166B5FF5"/>
    <w:rsid w:val="16704C85"/>
    <w:rsid w:val="16744071"/>
    <w:rsid w:val="167C5BDC"/>
    <w:rsid w:val="1680645E"/>
    <w:rsid w:val="168821FC"/>
    <w:rsid w:val="168F585F"/>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82606"/>
    <w:rsid w:val="174B3A7D"/>
    <w:rsid w:val="175454DC"/>
    <w:rsid w:val="17636FAF"/>
    <w:rsid w:val="17702879"/>
    <w:rsid w:val="177761B3"/>
    <w:rsid w:val="178424FA"/>
    <w:rsid w:val="178D2C84"/>
    <w:rsid w:val="178D7F71"/>
    <w:rsid w:val="179E7495"/>
    <w:rsid w:val="17A026E1"/>
    <w:rsid w:val="17A21E1C"/>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DF7791"/>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9F09F3"/>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15582"/>
    <w:rsid w:val="1AF21DA7"/>
    <w:rsid w:val="1AFD5642"/>
    <w:rsid w:val="1B097FBA"/>
    <w:rsid w:val="1B2542E6"/>
    <w:rsid w:val="1B2929AB"/>
    <w:rsid w:val="1B2C3E91"/>
    <w:rsid w:val="1B47772F"/>
    <w:rsid w:val="1B50538E"/>
    <w:rsid w:val="1B5322E9"/>
    <w:rsid w:val="1B607248"/>
    <w:rsid w:val="1B612AFA"/>
    <w:rsid w:val="1B693EA3"/>
    <w:rsid w:val="1B6B1131"/>
    <w:rsid w:val="1B6C25E8"/>
    <w:rsid w:val="1B741476"/>
    <w:rsid w:val="1B793426"/>
    <w:rsid w:val="1B801536"/>
    <w:rsid w:val="1B8260BC"/>
    <w:rsid w:val="1B8A2061"/>
    <w:rsid w:val="1B8C3320"/>
    <w:rsid w:val="1B957FCF"/>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7F7184"/>
    <w:rsid w:val="1C804FFC"/>
    <w:rsid w:val="1C811EBE"/>
    <w:rsid w:val="1C8D3996"/>
    <w:rsid w:val="1C9C1BE4"/>
    <w:rsid w:val="1CA0266C"/>
    <w:rsid w:val="1CA36569"/>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41CD7"/>
    <w:rsid w:val="1DDE47B5"/>
    <w:rsid w:val="1DE56A6A"/>
    <w:rsid w:val="1DFD1A78"/>
    <w:rsid w:val="1DFD5D66"/>
    <w:rsid w:val="1E1C0F23"/>
    <w:rsid w:val="1E1D3350"/>
    <w:rsid w:val="1E2D3856"/>
    <w:rsid w:val="1E2E6394"/>
    <w:rsid w:val="1E3C2C1F"/>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794D1A"/>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9E589F"/>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4F0CCB"/>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233EF"/>
    <w:rsid w:val="238C2CA1"/>
    <w:rsid w:val="238E7B6A"/>
    <w:rsid w:val="238F69CD"/>
    <w:rsid w:val="2397196E"/>
    <w:rsid w:val="239C2C5D"/>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284"/>
    <w:rsid w:val="249F57D9"/>
    <w:rsid w:val="24A46A37"/>
    <w:rsid w:val="24AF0F0C"/>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05466"/>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463F9A"/>
    <w:rsid w:val="264A5177"/>
    <w:rsid w:val="26525ABF"/>
    <w:rsid w:val="26574E2B"/>
    <w:rsid w:val="265826A7"/>
    <w:rsid w:val="265D4625"/>
    <w:rsid w:val="266C527A"/>
    <w:rsid w:val="267056BF"/>
    <w:rsid w:val="2682002D"/>
    <w:rsid w:val="268426E2"/>
    <w:rsid w:val="26871BB0"/>
    <w:rsid w:val="2689072D"/>
    <w:rsid w:val="268D61F7"/>
    <w:rsid w:val="26915CA2"/>
    <w:rsid w:val="26BF485A"/>
    <w:rsid w:val="26E32255"/>
    <w:rsid w:val="26EA75CE"/>
    <w:rsid w:val="26EC6E10"/>
    <w:rsid w:val="26EF32CA"/>
    <w:rsid w:val="26F11DDD"/>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5F478B"/>
    <w:rsid w:val="2A6162EF"/>
    <w:rsid w:val="2A664904"/>
    <w:rsid w:val="2A6B5774"/>
    <w:rsid w:val="2A6C0C25"/>
    <w:rsid w:val="2A6C7032"/>
    <w:rsid w:val="2A712586"/>
    <w:rsid w:val="2A750383"/>
    <w:rsid w:val="2A7504B4"/>
    <w:rsid w:val="2A750734"/>
    <w:rsid w:val="2A750FDD"/>
    <w:rsid w:val="2A75687F"/>
    <w:rsid w:val="2A772052"/>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733E5F"/>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C0C2E"/>
    <w:rsid w:val="2D9E7AAD"/>
    <w:rsid w:val="2DA10413"/>
    <w:rsid w:val="2DB46007"/>
    <w:rsid w:val="2DC92410"/>
    <w:rsid w:val="2DCB4BB9"/>
    <w:rsid w:val="2DD70417"/>
    <w:rsid w:val="2DDB0F96"/>
    <w:rsid w:val="2DE35418"/>
    <w:rsid w:val="2E035274"/>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B86D2A"/>
    <w:rsid w:val="2EC81F77"/>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75D7B"/>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281E1B"/>
    <w:rsid w:val="303D2A1B"/>
    <w:rsid w:val="303E008C"/>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895B80"/>
    <w:rsid w:val="31963578"/>
    <w:rsid w:val="31A32722"/>
    <w:rsid w:val="31A91D45"/>
    <w:rsid w:val="31AC7DF1"/>
    <w:rsid w:val="31AE5339"/>
    <w:rsid w:val="31BA0E10"/>
    <w:rsid w:val="31BB2CDB"/>
    <w:rsid w:val="31C44658"/>
    <w:rsid w:val="31CB1EC5"/>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5683C"/>
    <w:rsid w:val="331B6EDE"/>
    <w:rsid w:val="33313D66"/>
    <w:rsid w:val="33352864"/>
    <w:rsid w:val="33385346"/>
    <w:rsid w:val="33397206"/>
    <w:rsid w:val="33451D77"/>
    <w:rsid w:val="33516568"/>
    <w:rsid w:val="33530865"/>
    <w:rsid w:val="33547F1F"/>
    <w:rsid w:val="337169E0"/>
    <w:rsid w:val="33796778"/>
    <w:rsid w:val="337F01D0"/>
    <w:rsid w:val="3397431E"/>
    <w:rsid w:val="33986BF1"/>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52676"/>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191317"/>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20A33"/>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403EC"/>
    <w:rsid w:val="39C84667"/>
    <w:rsid w:val="39CA73AF"/>
    <w:rsid w:val="39DA71AF"/>
    <w:rsid w:val="39E530A4"/>
    <w:rsid w:val="39FF6602"/>
    <w:rsid w:val="3A033721"/>
    <w:rsid w:val="3A047EE6"/>
    <w:rsid w:val="3A0731EC"/>
    <w:rsid w:val="3A15267E"/>
    <w:rsid w:val="3A18263D"/>
    <w:rsid w:val="3A2549CE"/>
    <w:rsid w:val="3A2C6444"/>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3B1B30"/>
    <w:rsid w:val="3D4C08A0"/>
    <w:rsid w:val="3D4D4F31"/>
    <w:rsid w:val="3D5305FD"/>
    <w:rsid w:val="3D5B4F5D"/>
    <w:rsid w:val="3D5F34BD"/>
    <w:rsid w:val="3D6B33E8"/>
    <w:rsid w:val="3D752505"/>
    <w:rsid w:val="3D762AD7"/>
    <w:rsid w:val="3D7A5575"/>
    <w:rsid w:val="3D7D0F46"/>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A3E59"/>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63B47"/>
    <w:rsid w:val="401A4816"/>
    <w:rsid w:val="404224B6"/>
    <w:rsid w:val="40432906"/>
    <w:rsid w:val="40433886"/>
    <w:rsid w:val="40516742"/>
    <w:rsid w:val="40573B87"/>
    <w:rsid w:val="405B60B6"/>
    <w:rsid w:val="40633FD6"/>
    <w:rsid w:val="406903C7"/>
    <w:rsid w:val="406930A8"/>
    <w:rsid w:val="406F59D7"/>
    <w:rsid w:val="40786C8E"/>
    <w:rsid w:val="40805B94"/>
    <w:rsid w:val="40813DBE"/>
    <w:rsid w:val="40830B74"/>
    <w:rsid w:val="40AA54F1"/>
    <w:rsid w:val="40C032DF"/>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576B0"/>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71C92"/>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27EEF"/>
    <w:rsid w:val="44290F04"/>
    <w:rsid w:val="44387B6B"/>
    <w:rsid w:val="44396033"/>
    <w:rsid w:val="443F24A6"/>
    <w:rsid w:val="444168F4"/>
    <w:rsid w:val="4445371E"/>
    <w:rsid w:val="444F4CC5"/>
    <w:rsid w:val="44723E90"/>
    <w:rsid w:val="447F2079"/>
    <w:rsid w:val="44905E4F"/>
    <w:rsid w:val="449307DD"/>
    <w:rsid w:val="449924D3"/>
    <w:rsid w:val="449C324D"/>
    <w:rsid w:val="44AE2C64"/>
    <w:rsid w:val="44AF364E"/>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70D5C"/>
    <w:rsid w:val="4638223A"/>
    <w:rsid w:val="4641025F"/>
    <w:rsid w:val="464B7611"/>
    <w:rsid w:val="46555121"/>
    <w:rsid w:val="4660177E"/>
    <w:rsid w:val="466E0F0B"/>
    <w:rsid w:val="4673382E"/>
    <w:rsid w:val="4675674D"/>
    <w:rsid w:val="468D1FB1"/>
    <w:rsid w:val="468F6773"/>
    <w:rsid w:val="469A330F"/>
    <w:rsid w:val="469F56A5"/>
    <w:rsid w:val="46AF29BC"/>
    <w:rsid w:val="46BD2696"/>
    <w:rsid w:val="46C86EBD"/>
    <w:rsid w:val="46DA4A29"/>
    <w:rsid w:val="46DE2697"/>
    <w:rsid w:val="46E26B7A"/>
    <w:rsid w:val="46EF6364"/>
    <w:rsid w:val="46F22FE0"/>
    <w:rsid w:val="46F85524"/>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05456"/>
    <w:rsid w:val="47DB202B"/>
    <w:rsid w:val="47E65C2F"/>
    <w:rsid w:val="47EB601C"/>
    <w:rsid w:val="47F664B8"/>
    <w:rsid w:val="47F76470"/>
    <w:rsid w:val="47FC1D1A"/>
    <w:rsid w:val="48052A48"/>
    <w:rsid w:val="48067F05"/>
    <w:rsid w:val="48082259"/>
    <w:rsid w:val="481A5198"/>
    <w:rsid w:val="481E5EE9"/>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8F825CF"/>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641940"/>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73CDB"/>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36914"/>
    <w:rsid w:val="4D607AA8"/>
    <w:rsid w:val="4D6837B8"/>
    <w:rsid w:val="4D6A0811"/>
    <w:rsid w:val="4D6F6F69"/>
    <w:rsid w:val="4D776DC3"/>
    <w:rsid w:val="4D877D93"/>
    <w:rsid w:val="4D8B5937"/>
    <w:rsid w:val="4D905912"/>
    <w:rsid w:val="4D9159F5"/>
    <w:rsid w:val="4D96605A"/>
    <w:rsid w:val="4D98115A"/>
    <w:rsid w:val="4DA01148"/>
    <w:rsid w:val="4DB11BBF"/>
    <w:rsid w:val="4DC66735"/>
    <w:rsid w:val="4DCD73A9"/>
    <w:rsid w:val="4DDE509A"/>
    <w:rsid w:val="4DE74431"/>
    <w:rsid w:val="4DF21DFB"/>
    <w:rsid w:val="4DF661D4"/>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EFB75BE"/>
    <w:rsid w:val="4F0129AC"/>
    <w:rsid w:val="4F01717B"/>
    <w:rsid w:val="4F097167"/>
    <w:rsid w:val="4F0D434F"/>
    <w:rsid w:val="4F1F2B7E"/>
    <w:rsid w:val="4F2426EF"/>
    <w:rsid w:val="4F401FBB"/>
    <w:rsid w:val="4F4F565B"/>
    <w:rsid w:val="4F531102"/>
    <w:rsid w:val="4F576D7F"/>
    <w:rsid w:val="4F5A4BC4"/>
    <w:rsid w:val="4F626555"/>
    <w:rsid w:val="4F737DBA"/>
    <w:rsid w:val="4F7933F9"/>
    <w:rsid w:val="4F7B2A3C"/>
    <w:rsid w:val="4F8144A4"/>
    <w:rsid w:val="4F8731AB"/>
    <w:rsid w:val="4F903087"/>
    <w:rsid w:val="4FA80752"/>
    <w:rsid w:val="4FAD3702"/>
    <w:rsid w:val="4FB23F6E"/>
    <w:rsid w:val="4FC6748D"/>
    <w:rsid w:val="4FD14464"/>
    <w:rsid w:val="4FE20BB5"/>
    <w:rsid w:val="4FE6073F"/>
    <w:rsid w:val="4FE75848"/>
    <w:rsid w:val="4FEA51AE"/>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37BF5"/>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231A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91D69"/>
    <w:rsid w:val="524C1ED0"/>
    <w:rsid w:val="5252693E"/>
    <w:rsid w:val="525B21B3"/>
    <w:rsid w:val="5288723F"/>
    <w:rsid w:val="529D62AB"/>
    <w:rsid w:val="529F4D3D"/>
    <w:rsid w:val="52A764C0"/>
    <w:rsid w:val="52A77E20"/>
    <w:rsid w:val="52AA1D5D"/>
    <w:rsid w:val="52AA5BC1"/>
    <w:rsid w:val="52B27CEE"/>
    <w:rsid w:val="52C716E5"/>
    <w:rsid w:val="52C73CB6"/>
    <w:rsid w:val="52CC2515"/>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70B25"/>
    <w:rsid w:val="53FD74A7"/>
    <w:rsid w:val="54026475"/>
    <w:rsid w:val="54066812"/>
    <w:rsid w:val="540D2DB1"/>
    <w:rsid w:val="54113405"/>
    <w:rsid w:val="54265DCC"/>
    <w:rsid w:val="54564BA3"/>
    <w:rsid w:val="54591CC2"/>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812AC"/>
    <w:rsid w:val="54EA5084"/>
    <w:rsid w:val="54EC4FC7"/>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3252AC"/>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5F7D63"/>
    <w:rsid w:val="57607DA2"/>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BC46BB"/>
    <w:rsid w:val="57C05330"/>
    <w:rsid w:val="57E46B48"/>
    <w:rsid w:val="57E47536"/>
    <w:rsid w:val="57F86A47"/>
    <w:rsid w:val="5801289D"/>
    <w:rsid w:val="58033F83"/>
    <w:rsid w:val="58034FDF"/>
    <w:rsid w:val="58051F1B"/>
    <w:rsid w:val="580F2CBC"/>
    <w:rsid w:val="581669AF"/>
    <w:rsid w:val="582A0100"/>
    <w:rsid w:val="582A6F6D"/>
    <w:rsid w:val="58336793"/>
    <w:rsid w:val="58446F01"/>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281BBA"/>
    <w:rsid w:val="59383FC3"/>
    <w:rsid w:val="593B0E3D"/>
    <w:rsid w:val="593E4705"/>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6D6215"/>
    <w:rsid w:val="5DA03427"/>
    <w:rsid w:val="5DA12B26"/>
    <w:rsid w:val="5DA52D6F"/>
    <w:rsid w:val="5DBE365D"/>
    <w:rsid w:val="5DCD3218"/>
    <w:rsid w:val="5DF242AA"/>
    <w:rsid w:val="5DF27D5A"/>
    <w:rsid w:val="5DF4322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6D4A6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53297"/>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CE283F"/>
    <w:rsid w:val="5FD32219"/>
    <w:rsid w:val="5FD370E2"/>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82DED"/>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31810"/>
    <w:rsid w:val="64280937"/>
    <w:rsid w:val="64294638"/>
    <w:rsid w:val="642D5F34"/>
    <w:rsid w:val="642F435C"/>
    <w:rsid w:val="64307255"/>
    <w:rsid w:val="643136E1"/>
    <w:rsid w:val="64410116"/>
    <w:rsid w:val="64412FC5"/>
    <w:rsid w:val="644520C4"/>
    <w:rsid w:val="644A77C2"/>
    <w:rsid w:val="6475495F"/>
    <w:rsid w:val="64890815"/>
    <w:rsid w:val="64A37D80"/>
    <w:rsid w:val="64AB2CF9"/>
    <w:rsid w:val="64B44C57"/>
    <w:rsid w:val="64B44DBF"/>
    <w:rsid w:val="64B73716"/>
    <w:rsid w:val="64B83EC8"/>
    <w:rsid w:val="64BD7A01"/>
    <w:rsid w:val="64C97B3D"/>
    <w:rsid w:val="64CD75B9"/>
    <w:rsid w:val="64D85F5A"/>
    <w:rsid w:val="64E96A52"/>
    <w:rsid w:val="64EE07A4"/>
    <w:rsid w:val="64F00938"/>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6D3E63"/>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5FD3C6D"/>
    <w:rsid w:val="660518AD"/>
    <w:rsid w:val="6607611A"/>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D4770"/>
    <w:rsid w:val="67DF5131"/>
    <w:rsid w:val="67E0527D"/>
    <w:rsid w:val="67E31422"/>
    <w:rsid w:val="67E9447E"/>
    <w:rsid w:val="67EA4D75"/>
    <w:rsid w:val="67F12CC4"/>
    <w:rsid w:val="67F50316"/>
    <w:rsid w:val="67F8136D"/>
    <w:rsid w:val="67FD5E3A"/>
    <w:rsid w:val="680B3317"/>
    <w:rsid w:val="682C3322"/>
    <w:rsid w:val="683407D5"/>
    <w:rsid w:val="683F785C"/>
    <w:rsid w:val="68570DC2"/>
    <w:rsid w:val="6865768E"/>
    <w:rsid w:val="6868422B"/>
    <w:rsid w:val="6870626F"/>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E0417"/>
    <w:rsid w:val="69BF1493"/>
    <w:rsid w:val="69C20911"/>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B2151"/>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101B2"/>
    <w:rsid w:val="6C866650"/>
    <w:rsid w:val="6CAF2677"/>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A2F8D"/>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7A5CAA"/>
    <w:rsid w:val="6E8C7890"/>
    <w:rsid w:val="6E9821A1"/>
    <w:rsid w:val="6EA2047A"/>
    <w:rsid w:val="6EB02A3D"/>
    <w:rsid w:val="6EB61295"/>
    <w:rsid w:val="6ECE7848"/>
    <w:rsid w:val="6ECE78F2"/>
    <w:rsid w:val="6EDD0E4F"/>
    <w:rsid w:val="6EE45BEF"/>
    <w:rsid w:val="6EEB23CD"/>
    <w:rsid w:val="6EEB289D"/>
    <w:rsid w:val="6EEC2156"/>
    <w:rsid w:val="6EF76E3B"/>
    <w:rsid w:val="6F08121A"/>
    <w:rsid w:val="6F2E4584"/>
    <w:rsid w:val="6F5144F5"/>
    <w:rsid w:val="6F652332"/>
    <w:rsid w:val="6F6B6565"/>
    <w:rsid w:val="6F721BEC"/>
    <w:rsid w:val="6F7826CF"/>
    <w:rsid w:val="6F896002"/>
    <w:rsid w:val="6F8C1763"/>
    <w:rsid w:val="6F8F70CC"/>
    <w:rsid w:val="6F906381"/>
    <w:rsid w:val="6F917FAF"/>
    <w:rsid w:val="6F972CFB"/>
    <w:rsid w:val="6F9A3481"/>
    <w:rsid w:val="6F9A4FCC"/>
    <w:rsid w:val="6F9C1AEB"/>
    <w:rsid w:val="6F9F28E6"/>
    <w:rsid w:val="6F9F2DC4"/>
    <w:rsid w:val="6FAA3674"/>
    <w:rsid w:val="6FB07698"/>
    <w:rsid w:val="6FC07B20"/>
    <w:rsid w:val="6FDB7436"/>
    <w:rsid w:val="6FDC69C2"/>
    <w:rsid w:val="6FDF3A89"/>
    <w:rsid w:val="6FE07F82"/>
    <w:rsid w:val="6FE27248"/>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048FD"/>
    <w:rsid w:val="70A40930"/>
    <w:rsid w:val="70A7716A"/>
    <w:rsid w:val="70AA59AD"/>
    <w:rsid w:val="70B8391A"/>
    <w:rsid w:val="70C278F5"/>
    <w:rsid w:val="70C76086"/>
    <w:rsid w:val="70D55D00"/>
    <w:rsid w:val="70DC06A6"/>
    <w:rsid w:val="70DD4BB8"/>
    <w:rsid w:val="70E23125"/>
    <w:rsid w:val="70FF1E43"/>
    <w:rsid w:val="71092536"/>
    <w:rsid w:val="71093815"/>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562A15"/>
    <w:rsid w:val="726C5886"/>
    <w:rsid w:val="727205E6"/>
    <w:rsid w:val="727262A0"/>
    <w:rsid w:val="727B396C"/>
    <w:rsid w:val="72806500"/>
    <w:rsid w:val="728511DC"/>
    <w:rsid w:val="728A0199"/>
    <w:rsid w:val="72904C14"/>
    <w:rsid w:val="72906D0C"/>
    <w:rsid w:val="72A73849"/>
    <w:rsid w:val="72A84BC9"/>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3FF2B0A"/>
    <w:rsid w:val="740E2030"/>
    <w:rsid w:val="74144EA0"/>
    <w:rsid w:val="741474A6"/>
    <w:rsid w:val="741D661B"/>
    <w:rsid w:val="741E6193"/>
    <w:rsid w:val="74291CE9"/>
    <w:rsid w:val="742A3BDB"/>
    <w:rsid w:val="74347BB6"/>
    <w:rsid w:val="743A3D1F"/>
    <w:rsid w:val="744426E2"/>
    <w:rsid w:val="745466A7"/>
    <w:rsid w:val="74601BD6"/>
    <w:rsid w:val="74713D51"/>
    <w:rsid w:val="74750914"/>
    <w:rsid w:val="74785503"/>
    <w:rsid w:val="74822038"/>
    <w:rsid w:val="74830D5C"/>
    <w:rsid w:val="748322C2"/>
    <w:rsid w:val="748C29E9"/>
    <w:rsid w:val="749E3408"/>
    <w:rsid w:val="74A60988"/>
    <w:rsid w:val="74AB4551"/>
    <w:rsid w:val="74B94487"/>
    <w:rsid w:val="74C02B00"/>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25867"/>
    <w:rsid w:val="75D769A5"/>
    <w:rsid w:val="75DB4086"/>
    <w:rsid w:val="75DF68BB"/>
    <w:rsid w:val="75E417B2"/>
    <w:rsid w:val="75EF6F95"/>
    <w:rsid w:val="75F4218D"/>
    <w:rsid w:val="76132FE4"/>
    <w:rsid w:val="761E3F90"/>
    <w:rsid w:val="762239BB"/>
    <w:rsid w:val="76272769"/>
    <w:rsid w:val="762A014F"/>
    <w:rsid w:val="76301DC9"/>
    <w:rsid w:val="763656E0"/>
    <w:rsid w:val="763C3EA3"/>
    <w:rsid w:val="76400507"/>
    <w:rsid w:val="764440D9"/>
    <w:rsid w:val="765C674B"/>
    <w:rsid w:val="7663578F"/>
    <w:rsid w:val="768E55DA"/>
    <w:rsid w:val="769F6C8C"/>
    <w:rsid w:val="76A0160E"/>
    <w:rsid w:val="76A54445"/>
    <w:rsid w:val="76B6222A"/>
    <w:rsid w:val="76BD097A"/>
    <w:rsid w:val="76C44FAF"/>
    <w:rsid w:val="76C5396B"/>
    <w:rsid w:val="76CE25D0"/>
    <w:rsid w:val="76D64223"/>
    <w:rsid w:val="76E30140"/>
    <w:rsid w:val="76E61D96"/>
    <w:rsid w:val="76EB730E"/>
    <w:rsid w:val="76F33325"/>
    <w:rsid w:val="76F63E3A"/>
    <w:rsid w:val="76F754DC"/>
    <w:rsid w:val="77253385"/>
    <w:rsid w:val="77363120"/>
    <w:rsid w:val="773D5084"/>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05E65"/>
    <w:rsid w:val="77B63286"/>
    <w:rsid w:val="77CE5948"/>
    <w:rsid w:val="77CF7217"/>
    <w:rsid w:val="77D55C5A"/>
    <w:rsid w:val="77D719C1"/>
    <w:rsid w:val="77D97597"/>
    <w:rsid w:val="77E17B5D"/>
    <w:rsid w:val="77F4062E"/>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6683C"/>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41573"/>
    <w:rsid w:val="78F51C92"/>
    <w:rsid w:val="78F72BFD"/>
    <w:rsid w:val="78FC5DA2"/>
    <w:rsid w:val="78FF404E"/>
    <w:rsid w:val="78FF5438"/>
    <w:rsid w:val="78FF75C8"/>
    <w:rsid w:val="790A5D98"/>
    <w:rsid w:val="790C504D"/>
    <w:rsid w:val="790D76E0"/>
    <w:rsid w:val="79137033"/>
    <w:rsid w:val="7914182E"/>
    <w:rsid w:val="7915512C"/>
    <w:rsid w:val="793C1FC0"/>
    <w:rsid w:val="79486213"/>
    <w:rsid w:val="794E1E8C"/>
    <w:rsid w:val="794E6DA1"/>
    <w:rsid w:val="795718DC"/>
    <w:rsid w:val="795A7853"/>
    <w:rsid w:val="79625528"/>
    <w:rsid w:val="7963001B"/>
    <w:rsid w:val="796411F3"/>
    <w:rsid w:val="796528F1"/>
    <w:rsid w:val="79782668"/>
    <w:rsid w:val="797D7C7B"/>
    <w:rsid w:val="798473C1"/>
    <w:rsid w:val="798D0CB1"/>
    <w:rsid w:val="799112AD"/>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35C8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0382F"/>
    <w:rsid w:val="7B77268D"/>
    <w:rsid w:val="7B7D6711"/>
    <w:rsid w:val="7B7F209E"/>
    <w:rsid w:val="7B854D5B"/>
    <w:rsid w:val="7B990D55"/>
    <w:rsid w:val="7B9D1C0D"/>
    <w:rsid w:val="7BA521B3"/>
    <w:rsid w:val="7BAD2945"/>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1E4B14"/>
    <w:rsid w:val="7E25635C"/>
    <w:rsid w:val="7E2C3CEE"/>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B04B7"/>
    <w:rsid w:val="7F0E419C"/>
    <w:rsid w:val="7F1A430A"/>
    <w:rsid w:val="7F1A7380"/>
    <w:rsid w:val="7F1A7D15"/>
    <w:rsid w:val="7F1B6A1F"/>
    <w:rsid w:val="7F1C3521"/>
    <w:rsid w:val="7F1E4033"/>
    <w:rsid w:val="7F2C2C1A"/>
    <w:rsid w:val="7F341C62"/>
    <w:rsid w:val="7F497E6B"/>
    <w:rsid w:val="7F4C786A"/>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7"/>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4</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RAN2#121bis-e</cp:lastModifiedBy>
  <cp:lastPrinted>2113-01-01T00:00:00Z</cp:lastPrinted>
  <dcterms:modified xsi:type="dcterms:W3CDTF">2023-05-12T09:22:19Z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